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6" w:lineRule="exact"/>
        <w:jc w:val="both"/>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附件2：</w:t>
      </w:r>
    </w:p>
    <w:p>
      <w:pPr>
        <w:pStyle w:val="4"/>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国家农产品质量安全县（市）创建单位自评表</w:t>
      </w:r>
    </w:p>
    <w:p>
      <w:pPr>
        <w:adjustRightInd w:val="0"/>
        <w:snapToGrid w:val="0"/>
        <w:spacing w:line="596" w:lineRule="exact"/>
        <w:ind w:firstLine="420" w:firstLineChars="150"/>
        <w:rPr>
          <w:rFonts w:ascii="Times New Roman" w:hAnsi="Times New Roman" w:eastAsia="仿宋_GB2312" w:cs="Times New Roman"/>
          <w:b/>
          <w:snapToGrid w:val="0"/>
          <w:kern w:val="0"/>
          <w:szCs w:val="21"/>
        </w:rPr>
      </w:pPr>
      <w:r>
        <w:rPr>
          <w:rFonts w:ascii="Times New Roman" w:hAnsi="Times New Roman" w:eastAsia="仿宋_GB2312" w:cs="Times New Roman"/>
          <w:snapToGrid w:val="0"/>
          <w:kern w:val="0"/>
          <w:sz w:val="28"/>
          <w:szCs w:val="36"/>
        </w:rPr>
        <w:t xml:space="preserve">                                      </w:t>
      </w:r>
      <w:bookmarkStart w:id="0" w:name="_GoBack"/>
      <w:bookmarkEnd w:id="0"/>
      <w:r>
        <w:rPr>
          <w:rFonts w:ascii="Times New Roman" w:hAnsi="Times New Roman" w:eastAsia="仿宋_GB2312" w:cs="Times New Roman"/>
          <w:snapToGrid w:val="0"/>
          <w:kern w:val="0"/>
          <w:sz w:val="28"/>
          <w:szCs w:val="36"/>
        </w:rPr>
        <w:t xml:space="preserve">           </w:t>
      </w:r>
      <w:r>
        <w:rPr>
          <w:rFonts w:hint="eastAsia" w:ascii="Times New Roman" w:hAnsi="Times New Roman" w:eastAsia="仿宋_GB2312" w:cs="Times New Roman"/>
          <w:snapToGrid w:val="0"/>
          <w:kern w:val="0"/>
          <w:sz w:val="28"/>
          <w:szCs w:val="36"/>
        </w:rPr>
        <w:t>自</w:t>
      </w:r>
      <w:r>
        <w:rPr>
          <w:rFonts w:ascii="Times New Roman" w:hAnsi="Times New Roman" w:eastAsia="仿宋_GB2312" w:cs="Times New Roman"/>
          <w:snapToGrid w:val="0"/>
          <w:kern w:val="0"/>
          <w:sz w:val="28"/>
          <w:szCs w:val="36"/>
        </w:rPr>
        <w:t>评结论：通过</w:t>
      </w:r>
      <w:r>
        <w:rPr>
          <w:rFonts w:ascii="Times New Roman" w:hAnsi="Times New Roman" w:eastAsia="宋体" w:cs="Times New Roman"/>
          <w:color w:val="333333"/>
          <w:kern w:val="0"/>
          <w:sz w:val="24"/>
          <w:szCs w:val="24"/>
          <w:shd w:val="clear" w:color="auto" w:fill="FFFFFF"/>
        </w:rPr>
        <w:sym w:font="Wingdings" w:char="00FE"/>
      </w:r>
      <w:r>
        <w:rPr>
          <w:rFonts w:ascii="Times New Roman" w:hAnsi="Times New Roman" w:eastAsia="仿宋_GB2312" w:cs="Times New Roman"/>
          <w:snapToGrid w:val="0"/>
          <w:kern w:val="0"/>
          <w:sz w:val="28"/>
          <w:szCs w:val="36"/>
        </w:rPr>
        <w:t xml:space="preserve">    不通过囗</w:t>
      </w:r>
    </w:p>
    <w:p>
      <w:pPr>
        <w:adjustRightInd w:val="0"/>
        <w:snapToGrid w:val="0"/>
        <w:spacing w:line="596" w:lineRule="exact"/>
        <w:ind w:firstLine="420" w:firstLineChars="150"/>
        <w:rPr>
          <w:rFonts w:ascii="Times New Roman" w:hAnsi="Times New Roman" w:eastAsia="仿宋_GB2312" w:cs="Times New Roman"/>
          <w:snapToGrid w:val="0"/>
          <w:kern w:val="0"/>
          <w:sz w:val="28"/>
          <w:szCs w:val="36"/>
        </w:rPr>
      </w:pPr>
      <w:r>
        <w:rPr>
          <w:rFonts w:ascii="Times New Roman" w:hAnsi="Times New Roman" w:eastAsia="仿宋_GB2312" w:cs="Times New Roman"/>
          <w:snapToGrid w:val="0"/>
          <w:kern w:val="0"/>
          <w:sz w:val="28"/>
          <w:szCs w:val="36"/>
        </w:rPr>
        <w:t>创建单位（盖章）：</w:t>
      </w:r>
      <w:r>
        <w:rPr>
          <w:rFonts w:hint="eastAsia" w:ascii="Times New Roman" w:hAnsi="Times New Roman" w:eastAsia="仿宋_GB2312" w:cs="Times New Roman"/>
          <w:snapToGrid w:val="0"/>
          <w:kern w:val="0"/>
          <w:sz w:val="28"/>
          <w:szCs w:val="36"/>
        </w:rPr>
        <w:t>开阳县人民政府</w:t>
      </w:r>
      <w:r>
        <w:rPr>
          <w:rFonts w:ascii="Times New Roman" w:hAnsi="Times New Roman" w:eastAsia="仿宋_GB2312" w:cs="Times New Roman"/>
          <w:snapToGrid w:val="0"/>
          <w:kern w:val="0"/>
          <w:sz w:val="28"/>
          <w:szCs w:val="36"/>
        </w:rPr>
        <w:t xml:space="preserve">                 </w:t>
      </w:r>
      <w:r>
        <w:rPr>
          <w:rFonts w:hint="eastAsia" w:ascii="Times New Roman" w:hAnsi="Times New Roman" w:eastAsia="仿宋_GB2312" w:cs="Times New Roman"/>
          <w:snapToGrid w:val="0"/>
          <w:kern w:val="0"/>
          <w:sz w:val="28"/>
          <w:szCs w:val="36"/>
        </w:rPr>
        <w:t>自</w:t>
      </w:r>
      <w:r>
        <w:rPr>
          <w:rFonts w:ascii="Times New Roman" w:hAnsi="Times New Roman" w:eastAsia="仿宋_GB2312" w:cs="Times New Roman"/>
          <w:snapToGrid w:val="0"/>
          <w:kern w:val="0"/>
          <w:sz w:val="28"/>
          <w:szCs w:val="36"/>
        </w:rPr>
        <w:t>评情况：总得分</w:t>
      </w:r>
      <w:r>
        <w:rPr>
          <w:rFonts w:ascii="Times New Roman" w:hAnsi="Times New Roman" w:eastAsia="仿宋_GB2312" w:cs="Times New Roman"/>
          <w:snapToGrid w:val="0"/>
          <w:kern w:val="0"/>
          <w:sz w:val="28"/>
          <w:szCs w:val="36"/>
          <w:u w:val="single"/>
        </w:rPr>
        <w:t xml:space="preserve"> </w:t>
      </w:r>
      <w:r>
        <w:rPr>
          <w:rFonts w:hint="eastAsia" w:ascii="Times New Roman" w:hAnsi="Times New Roman" w:eastAsia="仿宋_GB2312" w:cs="Times New Roman"/>
          <w:snapToGrid w:val="0"/>
          <w:kern w:val="0"/>
          <w:sz w:val="28"/>
          <w:szCs w:val="36"/>
          <w:u w:val="single"/>
        </w:rPr>
        <w:t>98.</w:t>
      </w:r>
      <w:r>
        <w:rPr>
          <w:rFonts w:hint="eastAsia" w:ascii="Times New Roman" w:hAnsi="Times New Roman" w:eastAsia="仿宋_GB2312" w:cs="Times New Roman"/>
          <w:snapToGrid w:val="0"/>
          <w:kern w:val="0"/>
          <w:sz w:val="28"/>
          <w:szCs w:val="36"/>
          <w:u w:val="single"/>
          <w:lang w:val="en-US" w:eastAsia="zh-CN"/>
        </w:rPr>
        <w:t>15</w:t>
      </w:r>
      <w:r>
        <w:rPr>
          <w:rFonts w:ascii="Times New Roman" w:hAnsi="Times New Roman" w:eastAsia="仿宋_GB2312" w:cs="Times New Roman"/>
          <w:snapToGrid w:val="0"/>
          <w:kern w:val="0"/>
          <w:sz w:val="28"/>
          <w:szCs w:val="36"/>
        </w:rPr>
        <w:t>分，关键项</w:t>
      </w:r>
      <w:r>
        <w:rPr>
          <w:rFonts w:ascii="Times New Roman" w:hAnsi="Times New Roman" w:eastAsia="仿宋_GB2312" w:cs="Times New Roman"/>
          <w:snapToGrid w:val="0"/>
          <w:kern w:val="0"/>
          <w:sz w:val="28"/>
          <w:szCs w:val="36"/>
          <w:u w:val="single"/>
        </w:rPr>
        <w:t xml:space="preserve"> </w:t>
      </w:r>
      <w:r>
        <w:rPr>
          <w:rFonts w:hint="eastAsia" w:ascii="Times New Roman" w:hAnsi="Times New Roman" w:eastAsia="仿宋_GB2312" w:cs="Times New Roman"/>
          <w:snapToGrid w:val="0"/>
          <w:kern w:val="0"/>
          <w:sz w:val="28"/>
          <w:szCs w:val="36"/>
          <w:u w:val="single"/>
        </w:rPr>
        <w:t>0</w:t>
      </w:r>
      <w:r>
        <w:rPr>
          <w:rFonts w:ascii="Times New Roman" w:hAnsi="Times New Roman" w:eastAsia="仿宋_GB2312" w:cs="Times New Roman"/>
          <w:snapToGrid w:val="0"/>
          <w:kern w:val="0"/>
          <w:sz w:val="28"/>
          <w:szCs w:val="36"/>
          <w:u w:val="single"/>
        </w:rPr>
        <w:t xml:space="preserve"> </w:t>
      </w:r>
      <w:r>
        <w:rPr>
          <w:rFonts w:ascii="Times New Roman" w:hAnsi="Times New Roman" w:eastAsia="仿宋_GB2312" w:cs="Times New Roman"/>
          <w:snapToGrid w:val="0"/>
          <w:kern w:val="0"/>
          <w:sz w:val="28"/>
          <w:szCs w:val="36"/>
        </w:rPr>
        <w:t xml:space="preserve">项不合格                  </w:t>
      </w:r>
    </w:p>
    <w:tbl>
      <w:tblPr>
        <w:tblStyle w:val="8"/>
        <w:tblW w:w="1384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890"/>
        <w:gridCol w:w="1561"/>
        <w:gridCol w:w="1633"/>
        <w:gridCol w:w="488"/>
        <w:gridCol w:w="6807"/>
        <w:gridCol w:w="1038"/>
        <w:gridCol w:w="781"/>
        <w:gridCol w:w="6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05" w:hRule="atLeast"/>
        </w:trPr>
        <w:tc>
          <w:tcPr>
            <w:tcW w:w="890" w:type="dxa"/>
            <w:vMerge w:val="restart"/>
            <w:shd w:val="clear" w:color="auto" w:fill="FFFFFF"/>
            <w:tcMar>
              <w:top w:w="0" w:type="dxa"/>
              <w:left w:w="108" w:type="dxa"/>
              <w:bottom w:w="0" w:type="dxa"/>
              <w:right w:w="108" w:type="dxa"/>
            </w:tcMar>
            <w:vAlign w:val="center"/>
          </w:tcPr>
          <w:p>
            <w:pPr>
              <w:widowControl/>
              <w:jc w:val="center"/>
              <w:rPr>
                <w:rFonts w:ascii="Times New Roman" w:hAnsi="Times New Roman" w:eastAsia="微软雅黑" w:cs="Times New Roman"/>
                <w:color w:val="333333"/>
                <w:kern w:val="0"/>
                <w:sz w:val="24"/>
                <w:szCs w:val="24"/>
              </w:rPr>
            </w:pPr>
            <w:r>
              <w:rPr>
                <w:rFonts w:ascii="Times New Roman" w:hAnsi="Times New Roman" w:eastAsia="宋体" w:cs="Times New Roman"/>
                <w:b/>
                <w:bCs/>
                <w:color w:val="000000"/>
                <w:kern w:val="0"/>
                <w:sz w:val="20"/>
                <w:szCs w:val="20"/>
              </w:rPr>
              <w:t>一级指标</w:t>
            </w:r>
          </w:p>
        </w:tc>
        <w:tc>
          <w:tcPr>
            <w:tcW w:w="1561" w:type="dxa"/>
            <w:vMerge w:val="restart"/>
            <w:shd w:val="clear" w:color="auto" w:fill="FFFFFF"/>
            <w:tcMar>
              <w:top w:w="0" w:type="dxa"/>
              <w:left w:w="108" w:type="dxa"/>
              <w:bottom w:w="0" w:type="dxa"/>
              <w:right w:w="108" w:type="dxa"/>
            </w:tcMar>
            <w:vAlign w:val="center"/>
          </w:tcPr>
          <w:p>
            <w:pPr>
              <w:widowControl/>
              <w:jc w:val="center"/>
              <w:rPr>
                <w:rFonts w:ascii="Times New Roman" w:hAnsi="Times New Roman" w:eastAsia="微软雅黑" w:cs="Times New Roman"/>
                <w:color w:val="333333"/>
                <w:kern w:val="0"/>
                <w:sz w:val="24"/>
                <w:szCs w:val="24"/>
              </w:rPr>
            </w:pPr>
            <w:r>
              <w:rPr>
                <w:rFonts w:ascii="Times New Roman" w:hAnsi="Times New Roman" w:eastAsia="宋体" w:cs="Times New Roman"/>
                <w:b/>
                <w:bCs/>
                <w:color w:val="000000"/>
                <w:kern w:val="0"/>
                <w:sz w:val="20"/>
                <w:szCs w:val="20"/>
              </w:rPr>
              <w:t>二级指标</w:t>
            </w:r>
          </w:p>
        </w:tc>
        <w:tc>
          <w:tcPr>
            <w:tcW w:w="1633" w:type="dxa"/>
            <w:vMerge w:val="restart"/>
            <w:shd w:val="clear" w:color="auto" w:fill="FFFFFF"/>
            <w:tcMar>
              <w:top w:w="0" w:type="dxa"/>
              <w:left w:w="108" w:type="dxa"/>
              <w:bottom w:w="0" w:type="dxa"/>
              <w:right w:w="108" w:type="dxa"/>
            </w:tcMar>
            <w:vAlign w:val="center"/>
          </w:tcPr>
          <w:p>
            <w:pPr>
              <w:widowControl/>
              <w:jc w:val="center"/>
              <w:rPr>
                <w:rFonts w:ascii="Times New Roman" w:hAnsi="Times New Roman" w:eastAsia="微软雅黑" w:cs="Times New Roman"/>
                <w:color w:val="333333"/>
                <w:kern w:val="0"/>
                <w:sz w:val="24"/>
                <w:szCs w:val="24"/>
              </w:rPr>
            </w:pPr>
            <w:r>
              <w:rPr>
                <w:rFonts w:ascii="Times New Roman" w:hAnsi="Times New Roman" w:eastAsia="宋体" w:cs="Times New Roman"/>
                <w:b/>
                <w:bCs/>
                <w:color w:val="000000"/>
                <w:kern w:val="0"/>
                <w:sz w:val="20"/>
                <w:szCs w:val="20"/>
              </w:rPr>
              <w:t>考核项目</w:t>
            </w:r>
          </w:p>
        </w:tc>
        <w:tc>
          <w:tcPr>
            <w:tcW w:w="488" w:type="dxa"/>
            <w:vMerge w:val="restart"/>
            <w:shd w:val="clear" w:color="auto" w:fill="FFFFFF"/>
            <w:tcMar>
              <w:top w:w="0" w:type="dxa"/>
              <w:left w:w="108" w:type="dxa"/>
              <w:bottom w:w="0" w:type="dxa"/>
              <w:right w:w="108" w:type="dxa"/>
            </w:tcMar>
            <w:vAlign w:val="center"/>
          </w:tcPr>
          <w:p>
            <w:pPr>
              <w:widowControl/>
              <w:jc w:val="center"/>
              <w:rPr>
                <w:rFonts w:ascii="Times New Roman" w:hAnsi="Times New Roman" w:eastAsia="微软雅黑" w:cs="Times New Roman"/>
                <w:color w:val="333333"/>
                <w:kern w:val="0"/>
                <w:sz w:val="24"/>
                <w:szCs w:val="24"/>
              </w:rPr>
            </w:pPr>
            <w:r>
              <w:rPr>
                <w:rFonts w:ascii="Times New Roman" w:hAnsi="Times New Roman" w:eastAsia="宋体" w:cs="Times New Roman"/>
                <w:b/>
                <w:bCs/>
                <w:color w:val="000000"/>
                <w:kern w:val="0"/>
                <w:sz w:val="20"/>
                <w:szCs w:val="20"/>
              </w:rPr>
              <w:t>序号</w:t>
            </w:r>
          </w:p>
        </w:tc>
        <w:tc>
          <w:tcPr>
            <w:tcW w:w="6807" w:type="dxa"/>
            <w:vMerge w:val="restart"/>
            <w:shd w:val="clear" w:color="auto" w:fill="FFFFFF"/>
            <w:tcMar>
              <w:top w:w="0" w:type="dxa"/>
              <w:left w:w="108" w:type="dxa"/>
              <w:bottom w:w="0" w:type="dxa"/>
              <w:right w:w="108" w:type="dxa"/>
            </w:tcMar>
            <w:vAlign w:val="center"/>
          </w:tcPr>
          <w:p>
            <w:pPr>
              <w:widowControl/>
              <w:jc w:val="center"/>
              <w:rPr>
                <w:rFonts w:ascii="Times New Roman" w:hAnsi="Times New Roman" w:eastAsia="微软雅黑" w:cs="Times New Roman"/>
                <w:color w:val="333333"/>
                <w:kern w:val="0"/>
                <w:sz w:val="24"/>
                <w:szCs w:val="24"/>
              </w:rPr>
            </w:pPr>
            <w:r>
              <w:rPr>
                <w:rFonts w:ascii="Times New Roman" w:hAnsi="Times New Roman" w:eastAsia="宋体" w:cs="Times New Roman"/>
                <w:b/>
                <w:bCs/>
                <w:color w:val="000000"/>
                <w:kern w:val="0"/>
                <w:sz w:val="20"/>
                <w:szCs w:val="20"/>
              </w:rPr>
              <w:t>考</w:t>
            </w:r>
            <w:r>
              <w:rPr>
                <w:rFonts w:ascii="Times New Roman" w:hAnsi="Times New Roman" w:eastAsia="微软雅黑" w:cs="Times New Roman"/>
                <w:b/>
                <w:bCs/>
                <w:color w:val="333333"/>
                <w:kern w:val="0"/>
                <w:sz w:val="20"/>
                <w:szCs w:val="20"/>
              </w:rPr>
              <w:t>   </w:t>
            </w:r>
            <w:r>
              <w:rPr>
                <w:rFonts w:ascii="Times New Roman" w:hAnsi="Times New Roman" w:eastAsia="宋体" w:cs="Times New Roman"/>
                <w:b/>
                <w:bCs/>
                <w:color w:val="000000"/>
                <w:kern w:val="0"/>
                <w:sz w:val="20"/>
                <w:szCs w:val="20"/>
              </w:rPr>
              <w:t>核</w:t>
            </w:r>
            <w:r>
              <w:rPr>
                <w:rFonts w:ascii="Times New Roman" w:hAnsi="Times New Roman" w:eastAsia="微软雅黑" w:cs="Times New Roman"/>
                <w:b/>
                <w:bCs/>
                <w:color w:val="333333"/>
                <w:kern w:val="0"/>
                <w:sz w:val="20"/>
                <w:szCs w:val="20"/>
              </w:rPr>
              <w:t>   </w:t>
            </w:r>
            <w:r>
              <w:rPr>
                <w:rFonts w:ascii="Times New Roman" w:hAnsi="Times New Roman" w:eastAsia="宋体" w:cs="Times New Roman"/>
                <w:b/>
                <w:bCs/>
                <w:color w:val="000000"/>
                <w:kern w:val="0"/>
                <w:sz w:val="20"/>
                <w:szCs w:val="20"/>
              </w:rPr>
              <w:t>内</w:t>
            </w:r>
            <w:r>
              <w:rPr>
                <w:rFonts w:ascii="Times New Roman" w:hAnsi="Times New Roman" w:eastAsia="微软雅黑" w:cs="Times New Roman"/>
                <w:b/>
                <w:bCs/>
                <w:color w:val="333333"/>
                <w:kern w:val="0"/>
                <w:sz w:val="20"/>
                <w:szCs w:val="20"/>
              </w:rPr>
              <w:t>   </w:t>
            </w:r>
            <w:r>
              <w:rPr>
                <w:rFonts w:ascii="Times New Roman" w:hAnsi="Times New Roman" w:eastAsia="宋体" w:cs="Times New Roman"/>
                <w:b/>
                <w:bCs/>
                <w:color w:val="000000"/>
                <w:kern w:val="0"/>
                <w:sz w:val="20"/>
                <w:szCs w:val="20"/>
              </w:rPr>
              <w:t>容</w:t>
            </w:r>
          </w:p>
        </w:tc>
        <w:tc>
          <w:tcPr>
            <w:tcW w:w="1819" w:type="dxa"/>
            <w:gridSpan w:val="2"/>
            <w:shd w:val="clear" w:color="auto" w:fill="FFFFFF"/>
            <w:tcMar>
              <w:top w:w="0" w:type="dxa"/>
              <w:left w:w="108" w:type="dxa"/>
              <w:bottom w:w="0" w:type="dxa"/>
              <w:right w:w="108" w:type="dxa"/>
            </w:tcMar>
            <w:vAlign w:val="center"/>
          </w:tcPr>
          <w:p>
            <w:pPr>
              <w:widowControl/>
              <w:jc w:val="center"/>
              <w:rPr>
                <w:rFonts w:ascii="Times New Roman" w:hAnsi="Times New Roman" w:eastAsia="微软雅黑" w:cs="Times New Roman"/>
                <w:color w:val="333333"/>
                <w:kern w:val="0"/>
                <w:sz w:val="24"/>
                <w:szCs w:val="24"/>
              </w:rPr>
            </w:pPr>
            <w:r>
              <w:rPr>
                <w:rFonts w:ascii="Times New Roman" w:hAnsi="Times New Roman" w:eastAsia="宋体" w:cs="Times New Roman"/>
                <w:b/>
                <w:bCs/>
                <w:color w:val="000000"/>
                <w:kern w:val="0"/>
                <w:sz w:val="20"/>
                <w:szCs w:val="20"/>
              </w:rPr>
              <w:t>评分</w:t>
            </w:r>
          </w:p>
        </w:tc>
        <w:tc>
          <w:tcPr>
            <w:tcW w:w="647" w:type="dxa"/>
            <w:vMerge w:val="restart"/>
            <w:shd w:val="clear" w:color="auto" w:fill="FFFFFF"/>
            <w:tcMar>
              <w:top w:w="0" w:type="dxa"/>
              <w:left w:w="108" w:type="dxa"/>
              <w:bottom w:w="0" w:type="dxa"/>
              <w:right w:w="108" w:type="dxa"/>
            </w:tcMar>
            <w:vAlign w:val="center"/>
          </w:tcPr>
          <w:p>
            <w:pPr>
              <w:widowControl/>
              <w:jc w:val="center"/>
              <w:rPr>
                <w:rFonts w:ascii="Times New Roman" w:hAnsi="Times New Roman" w:eastAsia="微软雅黑" w:cs="Times New Roman"/>
                <w:color w:val="333333"/>
                <w:kern w:val="0"/>
                <w:sz w:val="24"/>
                <w:szCs w:val="24"/>
              </w:rPr>
            </w:pPr>
            <w:r>
              <w:rPr>
                <w:rFonts w:ascii="Times New Roman" w:hAnsi="Times New Roman" w:eastAsia="宋体" w:cs="Times New Roman"/>
                <w:b/>
                <w:bCs/>
                <w:color w:val="000000"/>
                <w:kern w:val="0"/>
                <w:sz w:val="20"/>
                <w:szCs w:val="20"/>
              </w:rPr>
              <w:t>关键项是否符合要求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50"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038" w:type="dxa"/>
            <w:shd w:val="clear" w:color="auto" w:fill="FFFFFF"/>
            <w:tcMar>
              <w:top w:w="0" w:type="dxa"/>
              <w:left w:w="108" w:type="dxa"/>
              <w:bottom w:w="0" w:type="dxa"/>
              <w:right w:w="108" w:type="dxa"/>
            </w:tcMar>
            <w:vAlign w:val="center"/>
          </w:tcPr>
          <w:p>
            <w:pPr>
              <w:widowControl/>
              <w:jc w:val="center"/>
              <w:rPr>
                <w:rFonts w:ascii="Times New Roman" w:hAnsi="Times New Roman" w:eastAsia="微软雅黑" w:cs="Times New Roman"/>
                <w:color w:val="333333"/>
                <w:kern w:val="0"/>
                <w:sz w:val="24"/>
                <w:szCs w:val="24"/>
              </w:rPr>
            </w:pPr>
            <w:r>
              <w:rPr>
                <w:rFonts w:ascii="Times New Roman" w:hAnsi="Times New Roman" w:eastAsia="宋体" w:cs="Times New Roman"/>
                <w:b/>
                <w:bCs/>
                <w:color w:val="000000"/>
                <w:kern w:val="0"/>
                <w:sz w:val="20"/>
                <w:szCs w:val="20"/>
              </w:rPr>
              <w:t>满分</w:t>
            </w:r>
          </w:p>
        </w:tc>
        <w:tc>
          <w:tcPr>
            <w:tcW w:w="781" w:type="dxa"/>
            <w:shd w:val="clear" w:color="auto" w:fill="FFFFFF"/>
            <w:tcMar>
              <w:top w:w="0" w:type="dxa"/>
              <w:left w:w="108" w:type="dxa"/>
              <w:bottom w:w="0" w:type="dxa"/>
              <w:right w:w="108" w:type="dxa"/>
            </w:tcMar>
            <w:vAlign w:val="center"/>
          </w:tcPr>
          <w:p>
            <w:pPr>
              <w:widowControl/>
              <w:jc w:val="center"/>
              <w:rPr>
                <w:rFonts w:ascii="Times New Roman" w:hAnsi="Times New Roman" w:eastAsia="微软雅黑" w:cs="Times New Roman"/>
                <w:color w:val="333333"/>
                <w:kern w:val="0"/>
                <w:sz w:val="24"/>
                <w:szCs w:val="24"/>
              </w:rPr>
            </w:pPr>
            <w:r>
              <w:rPr>
                <w:rFonts w:ascii="Times New Roman" w:hAnsi="Times New Roman" w:eastAsia="宋体" w:cs="Times New Roman"/>
                <w:b/>
                <w:bCs/>
                <w:color w:val="000000"/>
                <w:kern w:val="0"/>
                <w:sz w:val="20"/>
                <w:szCs w:val="20"/>
              </w:rPr>
              <w:t>得分</w:t>
            </w:r>
          </w:p>
        </w:tc>
        <w:tc>
          <w:tcPr>
            <w:tcW w:w="647"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47" w:hRule="atLeast"/>
        </w:trPr>
        <w:tc>
          <w:tcPr>
            <w:tcW w:w="890"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 </w:t>
            </w:r>
            <w:r>
              <w:rPr>
                <w:rFonts w:ascii="Times New Roman" w:hAnsi="Times New Roman" w:eastAsia="宋体" w:cs="Times New Roman"/>
                <w:color w:val="333333"/>
                <w:kern w:val="0"/>
                <w:sz w:val="24"/>
                <w:szCs w:val="24"/>
                <w:shd w:val="clear" w:color="auto" w:fill="FFFFFF"/>
              </w:rPr>
              <w:t>工作考核</w:t>
            </w:r>
          </w:p>
        </w:tc>
        <w:tc>
          <w:tcPr>
            <w:tcW w:w="1561"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一、地方政府属地管理责任依法履行（</w:t>
            </w:r>
            <w:r>
              <w:rPr>
                <w:rFonts w:ascii="Times New Roman" w:hAnsi="Times New Roman" w:eastAsia="微软雅黑" w:cs="Times New Roman"/>
                <w:color w:val="333333"/>
                <w:kern w:val="0"/>
                <w:sz w:val="24"/>
                <w:szCs w:val="24"/>
              </w:rPr>
              <w:t>16</w:t>
            </w:r>
            <w:r>
              <w:rPr>
                <w:rFonts w:ascii="Times New Roman" w:hAnsi="Times New Roman" w:eastAsia="宋体" w:cs="Times New Roman"/>
                <w:color w:val="333333"/>
                <w:kern w:val="0"/>
                <w:sz w:val="24"/>
                <w:szCs w:val="24"/>
                <w:shd w:val="clear" w:color="auto" w:fill="FFFFFF"/>
              </w:rPr>
              <w:t>分）</w:t>
            </w: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（一）组织领导（</w:t>
            </w:r>
            <w:r>
              <w:rPr>
                <w:rFonts w:ascii="Times New Roman" w:hAnsi="Times New Roman" w:eastAsia="微软雅黑" w:cs="Times New Roman"/>
                <w:color w:val="333333"/>
                <w:kern w:val="0"/>
                <w:sz w:val="24"/>
                <w:szCs w:val="24"/>
              </w:rPr>
              <w:t>4</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县级人民政府成立由主要领导牵头的农产品质量安全工作领导机构</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2</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754"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农产品质量安全工作领导机构内的农业（畜牧、水产）、发展改革、财政、市场监管、商务、粮食等部门的职责清晰，落实到位</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2</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2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（二）绩效考核（</w:t>
            </w:r>
            <w:r>
              <w:rPr>
                <w:rFonts w:ascii="Times New Roman" w:hAnsi="Times New Roman" w:eastAsia="微软雅黑" w:cs="Times New Roman"/>
                <w:color w:val="333333"/>
                <w:kern w:val="0"/>
                <w:sz w:val="24"/>
                <w:szCs w:val="24"/>
              </w:rPr>
              <w:t>6</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3</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农产品质量安全监管工作在县级人民政府绩效考核体系中所占权重高于</w:t>
            </w:r>
            <w:r>
              <w:rPr>
                <w:rFonts w:ascii="Times New Roman" w:hAnsi="Times New Roman" w:eastAsia="微软雅黑" w:cs="Times New Roman"/>
                <w:color w:val="333333"/>
                <w:kern w:val="0"/>
                <w:sz w:val="24"/>
                <w:szCs w:val="24"/>
              </w:rPr>
              <w:t>5%</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2</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否</w:t>
            </w:r>
            <w:r>
              <w:rPr>
                <w:rFonts w:ascii="Times New Roman" w:hAnsi="Times New Roman" w:eastAsia="宋体" w:cs="Times New Roman"/>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65"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4</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县级人民政府将农产品质量安全监管工作纳入对乡镇的年度考核</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2</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6"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县级人民政府将农产品质量安全监管工作纳入对相关部门的年度考核</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2</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（三）规划计划（</w:t>
            </w:r>
            <w:r>
              <w:rPr>
                <w:rFonts w:ascii="Times New Roman" w:hAnsi="Times New Roman" w:eastAsia="微软雅黑" w:cs="Times New Roman"/>
                <w:color w:val="333333"/>
                <w:kern w:val="0"/>
                <w:sz w:val="24"/>
                <w:szCs w:val="24"/>
              </w:rPr>
              <w:t>2</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5</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农产品质量安全监管纳入本县国民经济和社会发展规划及主体功能区规划</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否</w:t>
            </w:r>
            <w:r>
              <w:rPr>
                <w:rFonts w:ascii="Times New Roman" w:hAnsi="Times New Roman" w:eastAsia="宋体" w:cs="Times New Roman"/>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6</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制定并组织实施农产品质量安全监管年度工作计划</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否</w:t>
            </w:r>
            <w:r>
              <w:rPr>
                <w:rFonts w:ascii="Times New Roman" w:hAnsi="Times New Roman" w:eastAsia="宋体" w:cs="Times New Roman"/>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（四）经费保障（</w:t>
            </w:r>
            <w:r>
              <w:rPr>
                <w:rFonts w:ascii="Times New Roman" w:hAnsi="Times New Roman" w:eastAsia="微软雅黑" w:cs="Times New Roman"/>
                <w:color w:val="333333"/>
                <w:kern w:val="0"/>
                <w:sz w:val="24"/>
                <w:szCs w:val="24"/>
              </w:rPr>
              <w:t>4</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7</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农产品质量安全监管、检测、执法等各项工作经费列入财政预算</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否</w:t>
            </w:r>
            <w:r>
              <w:rPr>
                <w:rFonts w:ascii="Times New Roman" w:hAnsi="Times New Roman" w:eastAsia="宋体" w:cs="Times New Roman"/>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8</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农产品质量安全财政投入满足监管工作实际需要</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2</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否</w:t>
            </w:r>
            <w:r>
              <w:rPr>
                <w:rFonts w:ascii="Times New Roman" w:hAnsi="Times New Roman" w:eastAsia="宋体" w:cs="Times New Roman"/>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增长幅度高于经常性财政收入增长幅度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否</w:t>
            </w:r>
            <w:r>
              <w:rPr>
                <w:rFonts w:ascii="Times New Roman" w:hAnsi="Times New Roman" w:eastAsia="宋体" w:cs="Times New Roman"/>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二、农产品生产经营单位主体责任落实到位（</w:t>
            </w:r>
            <w:r>
              <w:rPr>
                <w:rFonts w:ascii="Times New Roman" w:hAnsi="Times New Roman" w:eastAsia="微软雅黑" w:cs="Times New Roman"/>
                <w:color w:val="333333"/>
                <w:kern w:val="0"/>
                <w:sz w:val="24"/>
                <w:szCs w:val="24"/>
              </w:rPr>
              <w:t>11</w:t>
            </w:r>
            <w:r>
              <w:rPr>
                <w:rFonts w:ascii="Times New Roman" w:hAnsi="Times New Roman" w:eastAsia="宋体" w:cs="Times New Roman"/>
                <w:color w:val="333333"/>
                <w:kern w:val="0"/>
                <w:sz w:val="24"/>
                <w:szCs w:val="24"/>
                <w:shd w:val="clear" w:color="auto" w:fill="FFFFFF"/>
              </w:rPr>
              <w:t>分）</w:t>
            </w: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（一）监管名录和</w:t>
            </w:r>
            <w:r>
              <w:rPr>
                <w:rFonts w:hint="eastAsia" w:asciiTheme="minorEastAsia" w:hAnsiTheme="minorEastAsia" w:cstheme="minorEastAsia"/>
                <w:color w:val="333333"/>
                <w:kern w:val="0"/>
                <w:sz w:val="24"/>
                <w:szCs w:val="24"/>
              </w:rPr>
              <w:t>“</w:t>
            </w:r>
            <w:r>
              <w:rPr>
                <w:rFonts w:hint="eastAsia" w:asciiTheme="minorEastAsia" w:hAnsiTheme="minorEastAsia" w:cstheme="minorEastAsia"/>
                <w:color w:val="333333"/>
                <w:kern w:val="0"/>
                <w:sz w:val="24"/>
                <w:szCs w:val="24"/>
                <w:shd w:val="clear" w:color="auto" w:fill="FFFFFF"/>
              </w:rPr>
              <w:t>黑名单</w:t>
            </w:r>
            <w:r>
              <w:rPr>
                <w:rFonts w:hint="eastAsia" w:asciiTheme="minorEastAsia" w:hAnsiTheme="minorEastAsia" w:cstheme="minorEastAsia"/>
                <w:color w:val="333333"/>
                <w:kern w:val="0"/>
                <w:sz w:val="24"/>
                <w:szCs w:val="24"/>
              </w:rPr>
              <w:t>”</w:t>
            </w:r>
            <w:r>
              <w:rPr>
                <w:rFonts w:ascii="Times New Roman" w:hAnsi="Times New Roman" w:eastAsia="宋体" w:cs="Times New Roman"/>
                <w:color w:val="333333"/>
                <w:kern w:val="0"/>
                <w:sz w:val="24"/>
                <w:szCs w:val="24"/>
                <w:shd w:val="clear" w:color="auto" w:fill="FFFFFF"/>
              </w:rPr>
              <w:t>制度（</w:t>
            </w:r>
            <w:r>
              <w:rPr>
                <w:rFonts w:ascii="Times New Roman" w:hAnsi="Times New Roman" w:eastAsia="微软雅黑" w:cs="Times New Roman"/>
                <w:color w:val="333333"/>
                <w:kern w:val="0"/>
                <w:sz w:val="24"/>
                <w:szCs w:val="24"/>
              </w:rPr>
              <w:t>3</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9</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100%</w:t>
            </w:r>
            <w:r>
              <w:rPr>
                <w:rFonts w:ascii="Times New Roman" w:hAnsi="Times New Roman" w:eastAsia="宋体" w:cs="Times New Roman"/>
                <w:color w:val="333333"/>
                <w:kern w:val="0"/>
                <w:sz w:val="24"/>
                <w:szCs w:val="24"/>
                <w:shd w:val="clear" w:color="auto" w:fill="FFFFFF"/>
              </w:rPr>
              <w:t>落实农产品生产销售企业、农民专业合作社、畜禽屠宰企业、收购储运企业、经纪人和农产品批发、零售市场等生产经营主体监管名录制度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2</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10</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建立生产经营主</w:t>
            </w:r>
            <w:r>
              <w:rPr>
                <w:rFonts w:hint="eastAsia" w:asciiTheme="minorEastAsia" w:hAnsiTheme="minorEastAsia" w:cstheme="minorEastAsia"/>
                <w:color w:val="333333"/>
                <w:kern w:val="0"/>
                <w:sz w:val="24"/>
                <w:szCs w:val="24"/>
                <w:shd w:val="clear" w:color="auto" w:fill="FFFFFF"/>
              </w:rPr>
              <w:t>体</w:t>
            </w:r>
            <w:r>
              <w:rPr>
                <w:rFonts w:hint="eastAsia" w:asciiTheme="minorEastAsia" w:hAnsiTheme="minorEastAsia" w:cstheme="minorEastAsia"/>
                <w:color w:val="333333"/>
                <w:kern w:val="0"/>
                <w:sz w:val="24"/>
                <w:szCs w:val="24"/>
              </w:rPr>
              <w:t>“</w:t>
            </w:r>
            <w:r>
              <w:rPr>
                <w:rFonts w:hint="eastAsia" w:asciiTheme="minorEastAsia" w:hAnsiTheme="minorEastAsia" w:cstheme="minorEastAsia"/>
                <w:color w:val="333333"/>
                <w:kern w:val="0"/>
                <w:sz w:val="24"/>
                <w:szCs w:val="24"/>
                <w:shd w:val="clear" w:color="auto" w:fill="FFFFFF"/>
              </w:rPr>
              <w:t>黑名单</w:t>
            </w:r>
            <w:r>
              <w:rPr>
                <w:rFonts w:hint="eastAsia" w:asciiTheme="minorEastAsia" w:hAnsiTheme="minorEastAsia" w:cstheme="minorEastAsia"/>
                <w:color w:val="333333"/>
                <w:kern w:val="0"/>
                <w:sz w:val="24"/>
                <w:szCs w:val="24"/>
              </w:rPr>
              <w:t>”</w:t>
            </w:r>
            <w:r>
              <w:rPr>
                <w:rFonts w:ascii="Times New Roman" w:hAnsi="Times New Roman" w:eastAsia="宋体" w:cs="Times New Roman"/>
                <w:color w:val="333333"/>
                <w:kern w:val="0"/>
                <w:sz w:val="24"/>
                <w:szCs w:val="24"/>
                <w:shd w:val="clear" w:color="auto" w:fill="FFFFFF"/>
              </w:rPr>
              <w:t>制度，依法公开生产经营主体违法信息</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（二）人员培训（</w:t>
            </w:r>
            <w:r>
              <w:rPr>
                <w:rFonts w:ascii="Times New Roman" w:hAnsi="Times New Roman" w:eastAsia="微软雅黑" w:cs="Times New Roman"/>
                <w:color w:val="333333"/>
                <w:kern w:val="0"/>
                <w:sz w:val="24"/>
                <w:szCs w:val="24"/>
              </w:rPr>
              <w:t>1</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11</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对纳入监管名录的农产品生产经营主体及种养殖大户的责任告知率、培训率达到</w:t>
            </w:r>
            <w:r>
              <w:rPr>
                <w:rFonts w:ascii="Times New Roman" w:hAnsi="Times New Roman" w:eastAsia="微软雅黑" w:cs="Times New Roman"/>
                <w:color w:val="333333"/>
                <w:kern w:val="0"/>
                <w:sz w:val="24"/>
                <w:szCs w:val="24"/>
              </w:rPr>
              <w:t>100%</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（三）过程控制（</w:t>
            </w:r>
            <w:r>
              <w:rPr>
                <w:rFonts w:ascii="Times New Roman" w:hAnsi="Times New Roman" w:eastAsia="微软雅黑" w:cs="Times New Roman"/>
                <w:color w:val="333333"/>
                <w:kern w:val="0"/>
                <w:sz w:val="24"/>
                <w:szCs w:val="24"/>
              </w:rPr>
              <w:t>2</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12</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农产品生产企业或农民专业合作社实施质量承诺和开展从业人员培训</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0.5</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农产品生产企业或农民专业合作社落实生产记录制度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0.5</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农产品生产企业或农民专业合作社严格执行禁限用农兽药管理、农兽药休药期（安全间隔期）等规定</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0.5</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0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13</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屠宰企业落实流向登记制度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0.5</w:t>
            </w:r>
            <w:r>
              <w:rPr>
                <w:rFonts w:ascii="Times New Roman" w:hAnsi="Times New Roman" w:eastAsia="微软雅黑" w:cs="Times New Roman"/>
                <w:color w:val="333333"/>
                <w:kern w:val="0"/>
                <w:sz w:val="24"/>
                <w:szCs w:val="24"/>
              </w:rPr>
              <w:t> </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（四）产品自检（</w:t>
            </w:r>
            <w:r>
              <w:rPr>
                <w:rFonts w:ascii="Times New Roman" w:hAnsi="Times New Roman" w:eastAsia="微软雅黑" w:cs="Times New Roman"/>
                <w:color w:val="333333"/>
                <w:kern w:val="0"/>
                <w:sz w:val="24"/>
                <w:szCs w:val="24"/>
              </w:rPr>
              <w:t>3</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14</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农产品生产企业和农民专业合作社对销售的农产品开展自检或委托检验</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15</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屠宰企业落实进场查验、肉品品质检验、</w:t>
            </w: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瘦肉精</w:t>
            </w: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检测等制度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16</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农产品收购储运企业和农产品批发市场建立进货查验、抽查检测制度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（五）无害化处理（</w:t>
            </w:r>
            <w:r>
              <w:rPr>
                <w:rFonts w:ascii="Times New Roman" w:hAnsi="Times New Roman" w:eastAsia="微软雅黑" w:cs="Times New Roman"/>
                <w:color w:val="333333"/>
                <w:kern w:val="0"/>
                <w:sz w:val="24"/>
                <w:szCs w:val="24"/>
              </w:rPr>
              <w:t>2</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17</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建立病死畜禽及不合格农产品无害化处理机制</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病死畜禽无害化处理率达到</w:t>
            </w:r>
            <w:r>
              <w:rPr>
                <w:rFonts w:ascii="Times New Roman" w:hAnsi="Times New Roman" w:eastAsia="微软雅黑" w:cs="Times New Roman"/>
                <w:color w:val="333333"/>
                <w:kern w:val="0"/>
                <w:sz w:val="24"/>
                <w:szCs w:val="24"/>
              </w:rPr>
              <w:t>100%</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三、农业投入品监管有力（</w:t>
            </w:r>
            <w:r>
              <w:rPr>
                <w:rFonts w:ascii="Times New Roman" w:hAnsi="Times New Roman" w:eastAsia="微软雅黑" w:cs="Times New Roman"/>
                <w:color w:val="333333"/>
                <w:kern w:val="0"/>
                <w:sz w:val="24"/>
                <w:szCs w:val="24"/>
              </w:rPr>
              <w:t>11</w:t>
            </w:r>
            <w:r>
              <w:rPr>
                <w:rFonts w:ascii="Times New Roman" w:hAnsi="Times New Roman" w:eastAsia="宋体" w:cs="Times New Roman"/>
                <w:color w:val="333333"/>
                <w:kern w:val="0"/>
                <w:sz w:val="24"/>
                <w:szCs w:val="24"/>
                <w:shd w:val="clear" w:color="auto" w:fill="FFFFFF"/>
              </w:rPr>
              <w:t>分）</w:t>
            </w: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（一）市场准入和监管名录（</w:t>
            </w:r>
            <w:r>
              <w:rPr>
                <w:rFonts w:ascii="Times New Roman" w:hAnsi="Times New Roman" w:eastAsia="微软雅黑" w:cs="Times New Roman"/>
                <w:color w:val="333333"/>
                <w:kern w:val="0"/>
                <w:sz w:val="24"/>
                <w:szCs w:val="24"/>
              </w:rPr>
              <w:t>2</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18</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实行农药市场准入管理和建立主体监管名录</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否</w:t>
            </w:r>
            <w:r>
              <w:rPr>
                <w:rFonts w:ascii="Times New Roman" w:hAnsi="Times New Roman" w:eastAsia="宋体" w:cs="Times New Roman"/>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实行兽药、饲料及饲料添加剂市场准入管理和建立主体监管名录</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否</w:t>
            </w:r>
            <w:r>
              <w:rPr>
                <w:rFonts w:ascii="Times New Roman" w:hAnsi="Times New Roman" w:eastAsia="宋体" w:cs="Times New Roman"/>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（二）规范经营（</w:t>
            </w:r>
            <w:r>
              <w:rPr>
                <w:rFonts w:ascii="Times New Roman" w:hAnsi="Times New Roman" w:eastAsia="微软雅黑" w:cs="Times New Roman"/>
                <w:color w:val="333333"/>
                <w:kern w:val="0"/>
                <w:sz w:val="24"/>
                <w:szCs w:val="24"/>
              </w:rPr>
              <w:t>4</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19</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落实农业投入品购买索证索票、经营台账制度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0.5</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5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探索建立农药包装废弃物收集处理体系</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0.5</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20</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*100%</w:t>
            </w:r>
            <w:r>
              <w:rPr>
                <w:rFonts w:ascii="Times New Roman" w:hAnsi="Times New Roman" w:eastAsia="宋体" w:cs="Times New Roman"/>
                <w:color w:val="333333"/>
                <w:kern w:val="0"/>
                <w:sz w:val="24"/>
                <w:szCs w:val="24"/>
                <w:shd w:val="clear" w:color="auto" w:fill="FFFFFF"/>
              </w:rPr>
              <w:t>落实高毒农药定点经营、实名购买制度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0.5</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否</w:t>
            </w:r>
            <w:r>
              <w:rPr>
                <w:rFonts w:ascii="Times New Roman" w:hAnsi="Times New Roman" w:eastAsia="宋体" w:cs="Times New Roman"/>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推行兽药良好生产和经营规范</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0.5</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对养殖环节自配料实施监管</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0.5</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65"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21</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构建放心农业投入品经营和配送网络</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0.5</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实施连锁、统购、配送等营销模式的农业投入品占当地农业投入品总量比例达到</w:t>
            </w:r>
            <w:r>
              <w:rPr>
                <w:rFonts w:ascii="Times New Roman" w:hAnsi="Times New Roman" w:eastAsia="微软雅黑" w:cs="Times New Roman"/>
                <w:color w:val="000000" w:themeColor="text1"/>
                <w:kern w:val="0"/>
                <w:sz w:val="24"/>
                <w:szCs w:val="24"/>
                <w14:textFill>
                  <w14:solidFill>
                    <w14:schemeClr w14:val="tx1"/>
                  </w14:solidFill>
                </w14:textFill>
              </w:rPr>
              <w:t>70%</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以上</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hint="default" w:ascii="Times New Roman" w:hAnsi="Times New Roman" w:eastAsia="微软雅黑"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微软雅黑" w:cs="Times New Roman"/>
                <w:color w:val="000000" w:themeColor="text1"/>
                <w:kern w:val="0"/>
                <w:sz w:val="24"/>
                <w:szCs w:val="24"/>
                <w:lang w:val="en-US" w:eastAsia="zh-CN"/>
                <w14:textFill>
                  <w14:solidFill>
                    <w14:schemeClr w14:val="tx1"/>
                  </w14:solidFill>
                </w14:textFill>
              </w:rPr>
              <w:t>0.9</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0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（三）平台管理（</w:t>
            </w:r>
            <w:r>
              <w:rPr>
                <w:rFonts w:ascii="Times New Roman" w:hAnsi="Times New Roman" w:eastAsia="微软雅黑" w:cs="Times New Roman"/>
                <w:color w:val="333333"/>
                <w:kern w:val="0"/>
                <w:sz w:val="24"/>
                <w:szCs w:val="24"/>
              </w:rPr>
              <w:t>3</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22</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建成农业投入品监管信息平台</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实现农业投入品</w:t>
            </w:r>
            <w:r>
              <w:rPr>
                <w:rFonts w:ascii="Times New Roman" w:hAnsi="Times New Roman" w:eastAsia="微软雅黑" w:cs="Times New Roman"/>
                <w:color w:val="000000" w:themeColor="text1"/>
                <w:kern w:val="0"/>
                <w:sz w:val="24"/>
                <w:szCs w:val="24"/>
                <w14:textFill>
                  <w14:solidFill>
                    <w14:schemeClr w14:val="tx1"/>
                  </w14:solidFill>
                </w14:textFill>
              </w:rPr>
              <w:t>100%</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纳入平台管理</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2</w:t>
            </w:r>
            <w:r>
              <w:rPr>
                <w:rFonts w:ascii="Times New Roman" w:hAnsi="Times New Roman" w:eastAsia="微软雅黑" w:cs="Times New Roman"/>
                <w:color w:val="000000" w:themeColor="text1"/>
                <w:kern w:val="0"/>
                <w:sz w:val="24"/>
                <w:szCs w:val="24"/>
                <w14:textFill>
                  <w14:solidFill>
                    <w14:schemeClr w14:val="tx1"/>
                  </w14:solidFill>
                </w14:textFill>
              </w:rPr>
              <w:t> </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（四）质量监测（</w:t>
            </w:r>
            <w:r>
              <w:rPr>
                <w:rFonts w:ascii="Times New Roman" w:hAnsi="Times New Roman" w:eastAsia="微软雅黑" w:cs="Times New Roman"/>
                <w:color w:val="333333"/>
                <w:kern w:val="0"/>
                <w:sz w:val="24"/>
                <w:szCs w:val="24"/>
              </w:rPr>
              <w:t>2</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23</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建立农业投入品质量常态化监测制度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定期对县域内主要生产基地、交易市场的投入品开展监督抽查和技术指导</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0.5</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严格执行禁限用农兽药、饲料和饲料添加剂等有关规定，农业投入品生产环节非法添加行为基本杜绝</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0.5</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四、农产品质量安全监测扎实推进（</w:t>
            </w:r>
            <w:r>
              <w:rPr>
                <w:rFonts w:ascii="Times New Roman" w:hAnsi="Times New Roman" w:eastAsia="微软雅黑" w:cs="Times New Roman"/>
                <w:color w:val="333333"/>
                <w:kern w:val="0"/>
                <w:sz w:val="24"/>
                <w:szCs w:val="24"/>
              </w:rPr>
              <w:t>9</w:t>
            </w:r>
            <w:r>
              <w:rPr>
                <w:rFonts w:ascii="Times New Roman" w:hAnsi="Times New Roman" w:eastAsia="宋体" w:cs="Times New Roman"/>
                <w:color w:val="333333"/>
                <w:kern w:val="0"/>
                <w:sz w:val="24"/>
                <w:szCs w:val="24"/>
                <w:shd w:val="clear" w:color="auto" w:fill="FFFFFF"/>
              </w:rPr>
              <w:t>分）</w:t>
            </w: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（一）隐患排查和监督抽查（</w:t>
            </w:r>
            <w:r>
              <w:rPr>
                <w:rFonts w:ascii="Times New Roman" w:hAnsi="Times New Roman" w:eastAsia="微软雅黑" w:cs="Times New Roman"/>
                <w:color w:val="333333"/>
                <w:kern w:val="0"/>
                <w:sz w:val="24"/>
                <w:szCs w:val="24"/>
              </w:rPr>
              <w:t>5</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24</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制定实施主要农产品质量安全监测计划</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监测范围覆盖所有农产品生产销售企业、农民专业合作社、生产基地、种养殖大户和收购储运企业及批发、零售市场</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县一级全年定性抽检农产品样品数量不少于8</w:t>
            </w:r>
            <w:r>
              <w:rPr>
                <w:rFonts w:ascii="Times New Roman" w:hAnsi="Times New Roman" w:eastAsia="微软雅黑" w:cs="Times New Roman"/>
                <w:color w:val="000000" w:themeColor="text1"/>
                <w:kern w:val="0"/>
                <w:sz w:val="24"/>
                <w:szCs w:val="24"/>
                <w14:textFill>
                  <w14:solidFill>
                    <w14:schemeClr w14:val="tx1"/>
                  </w14:solidFill>
                </w14:textFill>
              </w:rPr>
              <w:t>000</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个</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全年定量抽检农产品样品数量不少于</w:t>
            </w:r>
            <w:r>
              <w:rPr>
                <w:rFonts w:ascii="Times New Roman" w:hAnsi="Times New Roman" w:eastAsia="微软雅黑" w:cs="Times New Roman"/>
                <w:color w:val="000000" w:themeColor="text1"/>
                <w:kern w:val="0"/>
                <w:sz w:val="24"/>
                <w:szCs w:val="24"/>
                <w14:textFill>
                  <w14:solidFill>
                    <w14:schemeClr w14:val="tx1"/>
                  </w14:solidFill>
                </w14:textFill>
              </w:rPr>
              <w:t>600</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个</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县域内农产品生产经营企业和农民专业合作社</w:t>
            </w:r>
            <w:r>
              <w:rPr>
                <w:rFonts w:ascii="Times New Roman" w:hAnsi="Times New Roman" w:eastAsia="微软雅黑" w:cs="Times New Roman"/>
                <w:color w:val="000000" w:themeColor="text1"/>
                <w:kern w:val="0"/>
                <w:sz w:val="24"/>
                <w:szCs w:val="24"/>
                <w14:textFill>
                  <w14:solidFill>
                    <w14:schemeClr w14:val="tx1"/>
                  </w14:solidFill>
                </w14:textFill>
              </w:rPr>
              <w:t>100%</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落实产品自检制度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（二）日常巡查（</w:t>
            </w:r>
            <w:r>
              <w:rPr>
                <w:rFonts w:ascii="Times New Roman" w:hAnsi="Times New Roman" w:eastAsia="微软雅黑" w:cs="Times New Roman"/>
                <w:color w:val="333333"/>
                <w:kern w:val="0"/>
                <w:sz w:val="24"/>
                <w:szCs w:val="24"/>
              </w:rPr>
              <w:t>3</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25</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乡镇监管机构落实日常巡查、速测等工作</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每个乡镇监管机构全年定性检测农产品样品不少于72</w:t>
            </w:r>
            <w:r>
              <w:rPr>
                <w:rFonts w:ascii="Times New Roman" w:hAnsi="Times New Roman" w:eastAsia="微软雅黑" w:cs="Times New Roman"/>
                <w:color w:val="000000" w:themeColor="text1"/>
                <w:kern w:val="0"/>
                <w:sz w:val="24"/>
                <w:szCs w:val="24"/>
                <w14:textFill>
                  <w14:solidFill>
                    <w14:schemeClr w14:val="tx1"/>
                  </w14:solidFill>
                </w14:textFill>
              </w:rPr>
              <w:t>00</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个</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2</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（三）信息公告（</w:t>
            </w:r>
            <w:r>
              <w:rPr>
                <w:rFonts w:ascii="Times New Roman" w:hAnsi="Times New Roman" w:eastAsia="微软雅黑" w:cs="Times New Roman"/>
                <w:color w:val="333333"/>
                <w:kern w:val="0"/>
                <w:sz w:val="24"/>
                <w:szCs w:val="24"/>
              </w:rPr>
              <w:t>1</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26</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定期或不定期公开本地农产品质量安全监督抽查、投入品监管、质量安全风险监测等信息</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7"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五、农产品质量安全执法到位（</w:t>
            </w:r>
            <w:r>
              <w:rPr>
                <w:rFonts w:ascii="Times New Roman" w:hAnsi="Times New Roman" w:eastAsia="微软雅黑" w:cs="Times New Roman"/>
                <w:color w:val="333333"/>
                <w:kern w:val="0"/>
                <w:sz w:val="24"/>
                <w:szCs w:val="24"/>
              </w:rPr>
              <w:t>13</w:t>
            </w:r>
            <w:r>
              <w:rPr>
                <w:rFonts w:ascii="Times New Roman" w:hAnsi="Times New Roman" w:eastAsia="宋体" w:cs="Times New Roman"/>
                <w:color w:val="333333"/>
                <w:kern w:val="0"/>
                <w:sz w:val="24"/>
                <w:szCs w:val="24"/>
                <w:shd w:val="clear" w:color="auto" w:fill="FFFFFF"/>
              </w:rPr>
              <w:t>分）</w:t>
            </w: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（一）执法检查（</w:t>
            </w:r>
            <w:r>
              <w:rPr>
                <w:rFonts w:ascii="Times New Roman" w:hAnsi="Times New Roman" w:eastAsia="微软雅黑" w:cs="Times New Roman"/>
                <w:color w:val="333333"/>
                <w:kern w:val="0"/>
                <w:sz w:val="24"/>
                <w:szCs w:val="24"/>
              </w:rPr>
              <w:t>4</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27</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对农业投入品生产经营和农产品生产、收购、储运、屠宰、批发、零售市场等重点环节开展执法检查</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4</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4</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（二）依法处置（</w:t>
            </w:r>
            <w:r>
              <w:rPr>
                <w:rFonts w:ascii="Times New Roman" w:hAnsi="Times New Roman" w:eastAsia="微软雅黑" w:cs="Times New Roman"/>
                <w:color w:val="333333"/>
                <w:kern w:val="0"/>
                <w:sz w:val="24"/>
                <w:szCs w:val="24"/>
              </w:rPr>
              <w:t>2</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28</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县域内制售假劣农资、生产销售使用禁用农兽药、非法添加有毒有害物质、收购销售病死畜禽、私屠滥宰、虚假农产品质量安全认证、伪造冒用</w:t>
            </w:r>
            <w:r>
              <w:rPr>
                <w:rFonts w:hint="eastAsia" w:asciiTheme="minorEastAsia" w:hAnsiTheme="minorEastAsia" w:cstheme="minorEastAsia"/>
                <w:color w:val="000000" w:themeColor="text1"/>
                <w:kern w:val="0"/>
                <w:sz w:val="24"/>
                <w:szCs w:val="24"/>
                <w14:textFill>
                  <w14:solidFill>
                    <w14:schemeClr w14:val="tx1"/>
                  </w14:solidFill>
                </w14:textFill>
              </w:rPr>
              <w:t>“</w:t>
            </w:r>
            <w:r>
              <w:rPr>
                <w:rFonts w:hint="eastAsia" w:asciiTheme="minorEastAsia" w:hAnsiTheme="minorEastAsia" w:cstheme="minorEastAsia"/>
                <w:color w:val="000000" w:themeColor="text1"/>
                <w:kern w:val="0"/>
                <w:sz w:val="24"/>
                <w:szCs w:val="24"/>
                <w:shd w:val="clear" w:color="auto" w:fill="FFFFFF"/>
                <w14:textFill>
                  <w14:solidFill>
                    <w14:schemeClr w14:val="tx1"/>
                  </w14:solidFill>
                </w14:textFill>
              </w:rPr>
              <w:t>三品一标</w:t>
            </w:r>
            <w:r>
              <w:rPr>
                <w:rFonts w:hint="eastAsia" w:asciiTheme="minorEastAsia" w:hAnsiTheme="minorEastAsia" w:cstheme="minorEastAsia"/>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产品标志等违法违规行为查处率达到</w:t>
            </w:r>
            <w:r>
              <w:rPr>
                <w:rFonts w:ascii="Times New Roman" w:hAnsi="Times New Roman" w:eastAsia="微软雅黑" w:cs="Times New Roman"/>
                <w:color w:val="000000" w:themeColor="text1"/>
                <w:kern w:val="0"/>
                <w:sz w:val="24"/>
                <w:szCs w:val="24"/>
                <w14:textFill>
                  <w14:solidFill>
                    <w14:schemeClr w14:val="tx1"/>
                  </w14:solidFill>
                </w14:textFill>
              </w:rPr>
              <w:t>100%</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2</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（三）健全机制（</w:t>
            </w:r>
            <w:r>
              <w:rPr>
                <w:rFonts w:ascii="Times New Roman" w:hAnsi="Times New Roman" w:eastAsia="微软雅黑" w:cs="Times New Roman"/>
                <w:color w:val="333333"/>
                <w:kern w:val="0"/>
                <w:sz w:val="24"/>
                <w:szCs w:val="24"/>
              </w:rPr>
              <w:t>4</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29</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建立线索发现和通报、案件协查、联合办案、大要案奖励等机制</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2</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30</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针对违法犯罪行为，及时移送公安机关，案件移送率达到</w:t>
            </w:r>
            <w:r>
              <w:rPr>
                <w:rFonts w:ascii="Times New Roman" w:hAnsi="Times New Roman" w:eastAsia="微软雅黑" w:cs="Times New Roman"/>
                <w:color w:val="000000" w:themeColor="text1"/>
                <w:kern w:val="0"/>
                <w:sz w:val="24"/>
                <w:szCs w:val="24"/>
                <w14:textFill>
                  <w14:solidFill>
                    <w14:schemeClr w14:val="tx1"/>
                  </w14:solidFill>
                </w14:textFill>
              </w:rPr>
              <w:t>100%</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建立行政执法与刑事司法信息共享平台</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（四）应急处置（</w:t>
            </w:r>
            <w:r>
              <w:rPr>
                <w:rFonts w:ascii="Times New Roman" w:hAnsi="Times New Roman" w:eastAsia="微软雅黑" w:cs="Times New Roman"/>
                <w:color w:val="333333"/>
                <w:kern w:val="0"/>
                <w:sz w:val="24"/>
                <w:szCs w:val="24"/>
              </w:rPr>
              <w:t>3</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31</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*3</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年内未发生重大农产品质量安全事故，未发生因本县生产的农产品造成其他地方发生重大农产品质量安全事故，未因区域性农产品质量安全事故被上级有关部门通报</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2</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78"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32</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健全突发事件快速反应机制</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0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六、标准化生产全面实行（</w:t>
            </w:r>
            <w:r>
              <w:rPr>
                <w:rFonts w:ascii="Times New Roman" w:hAnsi="Times New Roman" w:eastAsia="微软雅黑" w:cs="Times New Roman"/>
                <w:color w:val="333333"/>
                <w:kern w:val="0"/>
                <w:sz w:val="24"/>
                <w:szCs w:val="24"/>
              </w:rPr>
              <w:t>8</w:t>
            </w:r>
            <w:r>
              <w:rPr>
                <w:rFonts w:ascii="Times New Roman" w:hAnsi="Times New Roman" w:eastAsia="宋体" w:cs="Times New Roman"/>
                <w:color w:val="333333"/>
                <w:kern w:val="0"/>
                <w:sz w:val="24"/>
                <w:szCs w:val="24"/>
                <w:shd w:val="clear" w:color="auto" w:fill="FFFFFF"/>
              </w:rPr>
              <w:t>分）</w:t>
            </w: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（一）环境监测（</w:t>
            </w:r>
            <w:r>
              <w:rPr>
                <w:rFonts w:ascii="Times New Roman" w:hAnsi="Times New Roman" w:eastAsia="微软雅黑" w:cs="Times New Roman"/>
                <w:color w:val="333333"/>
                <w:kern w:val="0"/>
                <w:sz w:val="24"/>
                <w:szCs w:val="24"/>
              </w:rPr>
              <w:t>2</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33</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开展产地环境和污染状况监测，加强畜禽养殖粪便污染防治</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34</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科学合理调整农业结构和区域布局</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5"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（二）标准入户（</w:t>
            </w:r>
            <w:r>
              <w:rPr>
                <w:rFonts w:ascii="Times New Roman" w:hAnsi="Times New Roman" w:eastAsia="微软雅黑" w:cs="Times New Roman"/>
                <w:color w:val="333333"/>
                <w:kern w:val="0"/>
                <w:sz w:val="24"/>
                <w:szCs w:val="24"/>
              </w:rPr>
              <w:t>2</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35</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对辖区主导农产品全面制定生产操作规程</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标准入户率达到</w:t>
            </w:r>
            <w:r>
              <w:rPr>
                <w:rFonts w:ascii="Times New Roman" w:hAnsi="Times New Roman" w:eastAsia="微软雅黑" w:cs="Times New Roman"/>
                <w:color w:val="000000" w:themeColor="text1"/>
                <w:kern w:val="0"/>
                <w:sz w:val="24"/>
                <w:szCs w:val="24"/>
                <w14:textFill>
                  <w14:solidFill>
                    <w14:schemeClr w14:val="tx1"/>
                  </w14:solidFill>
                </w14:textFill>
              </w:rPr>
              <w:t>100%</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（三）技术推广（</w:t>
            </w:r>
            <w:r>
              <w:rPr>
                <w:rFonts w:ascii="Times New Roman" w:hAnsi="Times New Roman" w:eastAsia="微软雅黑" w:cs="Times New Roman"/>
                <w:color w:val="333333"/>
                <w:kern w:val="0"/>
                <w:sz w:val="24"/>
                <w:szCs w:val="24"/>
              </w:rPr>
              <w:t>2</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36</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推行统防统治、绿色防控、配方施肥、健康养殖和高效低毒农兽药使用等技术</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37</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开展蔬菜水果茶叶标准园、畜禽养殖标准化示范场、水产标准化健康养殖示范场建设</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（四）质量安全认证（</w:t>
            </w:r>
            <w:r>
              <w:rPr>
                <w:rFonts w:ascii="Times New Roman" w:hAnsi="Times New Roman" w:eastAsia="微软雅黑" w:cs="Times New Roman"/>
                <w:color w:val="333333"/>
                <w:kern w:val="0"/>
                <w:sz w:val="24"/>
                <w:szCs w:val="24"/>
              </w:rPr>
              <w:t>2</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38</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建立健全认证监管和补贴奖励机制</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无公害农产品、绿色食品、有机农产品、良好农业规范等获证产品占当地食用农产品生产总量或面积的比重达到</w:t>
            </w:r>
            <w:r>
              <w:rPr>
                <w:rFonts w:ascii="Times New Roman" w:hAnsi="Times New Roman" w:eastAsia="微软雅黑" w:cs="Times New Roman"/>
                <w:color w:val="000000" w:themeColor="text1"/>
                <w:kern w:val="0"/>
                <w:sz w:val="24"/>
                <w:szCs w:val="24"/>
                <w14:textFill>
                  <w14:solidFill>
                    <w14:schemeClr w14:val="tx1"/>
                  </w14:solidFill>
                </w14:textFill>
              </w:rPr>
              <w:t>40%</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七、农产品质量安全监管体系健全（</w:t>
            </w:r>
            <w:r>
              <w:rPr>
                <w:rFonts w:ascii="Times New Roman" w:hAnsi="Times New Roman" w:eastAsia="微软雅黑" w:cs="Times New Roman"/>
                <w:color w:val="333333"/>
                <w:kern w:val="0"/>
                <w:sz w:val="24"/>
                <w:szCs w:val="24"/>
              </w:rPr>
              <w:t>18</w:t>
            </w:r>
            <w:r>
              <w:rPr>
                <w:rFonts w:ascii="Times New Roman" w:hAnsi="Times New Roman" w:eastAsia="宋体" w:cs="Times New Roman"/>
                <w:color w:val="333333"/>
                <w:kern w:val="0"/>
                <w:sz w:val="24"/>
                <w:szCs w:val="24"/>
                <w:shd w:val="clear" w:color="auto" w:fill="FFFFFF"/>
              </w:rPr>
              <w:t>分）</w:t>
            </w: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（一）监管能力（</w:t>
            </w:r>
            <w:r>
              <w:rPr>
                <w:rFonts w:ascii="Times New Roman" w:hAnsi="Times New Roman" w:eastAsia="微软雅黑" w:cs="Times New Roman"/>
                <w:color w:val="333333"/>
                <w:kern w:val="0"/>
                <w:sz w:val="24"/>
                <w:szCs w:val="24"/>
              </w:rPr>
              <w:t>5</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39</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明确有部门负责农产品质量安全监管工作</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具有全面落实有关法律法规规定和职责要求的能力</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40</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县域内乡镇农产品质量监管职责明确</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具有监管服务能力</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0.5</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60"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建立岗位责任、巡查检查、信息上报、学习培训、考核奖惩等监管制度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0.5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0.5</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725"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41</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建立职责任务明确、考核体系完备的村级质量安全监管员队伍，逐步建立村级服务站点</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（二）检测能力（</w:t>
            </w:r>
            <w:r>
              <w:rPr>
                <w:rFonts w:ascii="Times New Roman" w:hAnsi="Times New Roman" w:eastAsia="微软雅黑" w:cs="Times New Roman"/>
                <w:color w:val="333333"/>
                <w:kern w:val="0"/>
                <w:sz w:val="24"/>
                <w:szCs w:val="24"/>
              </w:rPr>
              <w:t>4</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42</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县级农产品综合检测职责明确</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2</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具有县级农产品质量安全应有的检测能力，工作落实到位</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2</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（三）执法能力（</w:t>
            </w:r>
            <w:r>
              <w:rPr>
                <w:rFonts w:ascii="Times New Roman" w:hAnsi="Times New Roman" w:eastAsia="微软雅黑" w:cs="Times New Roman"/>
                <w:color w:val="333333"/>
                <w:kern w:val="0"/>
                <w:sz w:val="24"/>
                <w:szCs w:val="24"/>
              </w:rPr>
              <w:t>4</w:t>
            </w:r>
            <w:r>
              <w:rPr>
                <w:rFonts w:ascii="Times New Roman" w:hAnsi="Times New Roman" w:eastAsia="宋体" w:cs="Times New Roman"/>
                <w:color w:val="333333"/>
                <w:kern w:val="0"/>
                <w:sz w:val="24"/>
                <w:szCs w:val="24"/>
                <w:shd w:val="clear" w:color="auto" w:fill="FFFFFF"/>
              </w:rPr>
              <w:t>分）</w:t>
            </w: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43</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将农产品质量安全执法纳入综合执法</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48"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执法工作能够落实到位</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44</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明确有部门负责食品安全监督执法及相关检测工作</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779"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执法及相关检测工作能够落实到位</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（四）设备条件（</w:t>
            </w:r>
            <w:r>
              <w:rPr>
                <w:rFonts w:ascii="Times New Roman" w:hAnsi="Times New Roman" w:eastAsia="微软雅黑" w:cs="Times New Roman"/>
                <w:color w:val="333333"/>
                <w:kern w:val="0"/>
                <w:sz w:val="24"/>
                <w:szCs w:val="24"/>
              </w:rPr>
              <w:t>5</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45</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配备县乡两级必要的检验检测、执法取证、样品采集、质量追溯等设施设备及交通工具</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2</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46</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制订实施县、乡、村三级监管人员专门培训计划</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培训计划做到全员培训</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4"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每名监管人员每年接受农产品质量安全方面的集中专业培训达到</w:t>
            </w:r>
            <w:r>
              <w:rPr>
                <w:rFonts w:ascii="Times New Roman" w:hAnsi="Times New Roman" w:eastAsia="微软雅黑" w:cs="Times New Roman"/>
                <w:color w:val="000000" w:themeColor="text1"/>
                <w:kern w:val="0"/>
                <w:sz w:val="24"/>
                <w:szCs w:val="24"/>
                <w14:textFill>
                  <w14:solidFill>
                    <w14:schemeClr w14:val="tx1"/>
                  </w14:solidFill>
                </w14:textFill>
              </w:rPr>
              <w:t>40</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小时</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4"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八、农产品质量安全制度机制基本完善（</w:t>
            </w:r>
            <w:r>
              <w:rPr>
                <w:rFonts w:ascii="Times New Roman" w:hAnsi="Times New Roman" w:eastAsia="微软雅黑" w:cs="Times New Roman"/>
                <w:color w:val="333333"/>
                <w:kern w:val="0"/>
                <w:sz w:val="24"/>
                <w:szCs w:val="24"/>
              </w:rPr>
              <w:t>14</w:t>
            </w:r>
            <w:r>
              <w:rPr>
                <w:rFonts w:ascii="Times New Roman" w:hAnsi="Times New Roman" w:eastAsia="宋体" w:cs="Times New Roman"/>
                <w:color w:val="333333"/>
                <w:kern w:val="0"/>
                <w:sz w:val="24"/>
                <w:szCs w:val="24"/>
                <w:shd w:val="clear" w:color="auto" w:fill="FFFFFF"/>
              </w:rPr>
              <w:t>分）</w:t>
            </w: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（一）完善制度（</w:t>
            </w:r>
            <w:r>
              <w:rPr>
                <w:rFonts w:ascii="Times New Roman" w:hAnsi="Times New Roman" w:eastAsia="微软雅黑" w:cs="Times New Roman"/>
                <w:color w:val="333333"/>
                <w:kern w:val="0"/>
                <w:sz w:val="24"/>
                <w:szCs w:val="24"/>
              </w:rPr>
              <w:t>4</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47</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健全产地环境管理、农业投入品监管、生产过程管控、收购储运过程监管、包装标识管理等农产品质量安全监管基本制度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4</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4</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74"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（二）创新机制（</w:t>
            </w:r>
            <w:r>
              <w:rPr>
                <w:rFonts w:ascii="Times New Roman" w:hAnsi="Times New Roman" w:eastAsia="微软雅黑" w:cs="Times New Roman"/>
                <w:color w:val="333333"/>
                <w:kern w:val="0"/>
                <w:sz w:val="24"/>
                <w:szCs w:val="24"/>
              </w:rPr>
              <w:t>10</w:t>
            </w:r>
            <w:r>
              <w:rPr>
                <w:rFonts w:ascii="Times New Roman" w:hAnsi="Times New Roman" w:eastAsia="宋体" w:cs="Times New Roman"/>
                <w:color w:val="333333"/>
                <w:kern w:val="0"/>
                <w:sz w:val="24"/>
                <w:szCs w:val="24"/>
                <w:shd w:val="clear" w:color="auto" w:fill="FFFFFF"/>
              </w:rPr>
              <w:t>分）</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48</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推行社会共治，发挥行业协会和认证机构作用，建立举报奖励制度</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3</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3</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753"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49</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因地制宜地建立主要农产品质量安全追溯体系，实现与加工、流通领域追溯体系的对接，农产品生产企业、农民专业合作社、收购储运企业和农产品批发市场、零售市场、加工企业实施以农产品质量合格证明为基础的农产品产地准出、市场准入、诚信管理等监管制度，保障农产品产地准出和市场准入的衔接机制有效运行</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5</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5</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04"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50</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推进产销衔接</w:t>
            </w: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积极探索建立面向分散农户和收购储运主体的农产品质量安全责任落实机制和管理模式</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2</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2</w:t>
            </w:r>
          </w:p>
        </w:tc>
        <w:tc>
          <w:tcPr>
            <w:tcW w:w="64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0"/>
                <w:szCs w:val="20"/>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74" w:hRule="atLeast"/>
        </w:trPr>
        <w:tc>
          <w:tcPr>
            <w:tcW w:w="890"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质量安全水平</w:t>
            </w:r>
          </w:p>
        </w:tc>
        <w:tc>
          <w:tcPr>
            <w:tcW w:w="1561"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质量监测</w:t>
            </w:r>
          </w:p>
        </w:tc>
        <w:tc>
          <w:tcPr>
            <w:tcW w:w="1633" w:type="dxa"/>
            <w:vMerge w:val="restart"/>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质量监测</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51</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监测合格率应达到</w:t>
            </w:r>
            <w:r>
              <w:rPr>
                <w:rFonts w:ascii="Times New Roman" w:hAnsi="Times New Roman" w:eastAsia="微软雅黑" w:cs="Times New Roman"/>
                <w:color w:val="000000" w:themeColor="text1"/>
                <w:kern w:val="0"/>
                <w:sz w:val="24"/>
                <w:szCs w:val="24"/>
                <w14:textFill>
                  <w14:solidFill>
                    <w14:schemeClr w14:val="tx1"/>
                  </w14:solidFill>
                </w14:textFill>
              </w:rPr>
              <w:t>98%</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以上</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s="Times New Roman"/>
                <w:color w:val="000000" w:themeColor="text1"/>
                <w:kern w:val="0"/>
                <w:sz w:val="24"/>
                <w:szCs w:val="24"/>
                <w14:textFill>
                  <w14:solidFill>
                    <w14:schemeClr w14:val="tx1"/>
                  </w14:solidFill>
                </w14:textFill>
              </w:rPr>
              <w:t>100</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hint="eastAsia" w:ascii="Times New Roman" w:hAnsi="Times New Roman" w:eastAsia="微软雅黑" w:cs="Times New Roman"/>
                <w:color w:val="333333"/>
                <w:kern w:val="0"/>
                <w:sz w:val="24"/>
                <w:szCs w:val="24"/>
              </w:rPr>
            </w:pP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333333"/>
                <w:kern w:val="0"/>
                <w:sz w:val="24"/>
                <w:szCs w:val="24"/>
              </w:rPr>
              <w:t>99.2</w:t>
            </w:r>
            <w:r>
              <w:rPr>
                <w:rFonts w:hint="eastAsia" w:ascii="Times New Roman" w:hAnsi="Times New Roman" w:eastAsia="微软雅黑" w:cs="Times New Roman"/>
                <w:color w:val="333333"/>
                <w:kern w:val="0"/>
                <w:sz w:val="24"/>
                <w:szCs w:val="24"/>
                <w:lang w:val="en-US" w:eastAsia="zh-CN"/>
              </w:rPr>
              <w:t>4</w:t>
            </w:r>
            <w:r>
              <w:rPr>
                <w:rFonts w:ascii="Times New Roman" w:hAnsi="Times New Roman" w:eastAsia="微软雅黑" w:cs="Times New Roman"/>
                <w:color w:val="333333"/>
                <w:kern w:val="0"/>
                <w:sz w:val="24"/>
                <w:szCs w:val="24"/>
              </w:rPr>
              <w:t> </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否</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041" w:hRule="atLeast"/>
        </w:trPr>
        <w:tc>
          <w:tcPr>
            <w:tcW w:w="890"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561"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1633" w:type="dxa"/>
            <w:vMerge w:val="continue"/>
            <w:shd w:val="clear" w:color="auto" w:fill="FFFFFF"/>
            <w:vAlign w:val="center"/>
          </w:tcPr>
          <w:p>
            <w:pPr>
              <w:widowControl/>
              <w:jc w:val="left"/>
              <w:rPr>
                <w:rFonts w:ascii="Times New Roman" w:hAnsi="Times New Roman" w:eastAsia="微软雅黑" w:cs="Times New Roman"/>
                <w:color w:val="333333"/>
                <w:kern w:val="0"/>
                <w:sz w:val="24"/>
                <w:szCs w:val="24"/>
              </w:rPr>
            </w:pP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52</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本县生产销售的蔬菜、水果、茶叶等种植业产品中禁用农药、畜产品中</w:t>
            </w: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瘦肉精</w:t>
            </w: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、水产品中孔雀石绿、硝基呋喃等禁用药物的监测合格率达到</w:t>
            </w:r>
            <w:r>
              <w:rPr>
                <w:rFonts w:ascii="Times New Roman" w:hAnsi="Times New Roman" w:eastAsia="微软雅黑" w:cs="Times New Roman"/>
                <w:color w:val="333333"/>
                <w:kern w:val="0"/>
                <w:sz w:val="24"/>
                <w:szCs w:val="24"/>
              </w:rPr>
              <w:t>100%</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否</w:t>
            </w:r>
            <w:r>
              <w:rPr>
                <w:rFonts w:ascii="Times New Roman" w:hAnsi="Times New Roman" w:eastAsia="宋体" w:cs="Times New Roman"/>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74" w:hRule="atLeast"/>
        </w:trPr>
        <w:tc>
          <w:tcPr>
            <w:tcW w:w="890"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群众满意度</w:t>
            </w:r>
          </w:p>
        </w:tc>
        <w:tc>
          <w:tcPr>
            <w:tcW w:w="1561"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群众满意度</w:t>
            </w: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333333"/>
                <w:kern w:val="0"/>
                <w:sz w:val="24"/>
                <w:szCs w:val="24"/>
                <w:shd w:val="clear" w:color="auto" w:fill="FFFFFF"/>
              </w:rPr>
              <w:t>群众满意度</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53</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w:t>
            </w:r>
            <w:r>
              <w:rPr>
                <w:rFonts w:ascii="Times New Roman" w:hAnsi="Times New Roman" w:eastAsia="宋体" w:cs="Times New Roman"/>
                <w:color w:val="333333"/>
                <w:kern w:val="0"/>
                <w:sz w:val="24"/>
                <w:szCs w:val="24"/>
                <w:shd w:val="clear" w:color="auto" w:fill="FFFFFF"/>
              </w:rPr>
              <w:t>群众满意度应在</w:t>
            </w:r>
            <w:r>
              <w:rPr>
                <w:rFonts w:ascii="Times New Roman" w:hAnsi="Times New Roman" w:eastAsia="微软雅黑" w:cs="Times New Roman"/>
                <w:color w:val="333333"/>
                <w:kern w:val="0"/>
                <w:sz w:val="24"/>
                <w:szCs w:val="24"/>
              </w:rPr>
              <w:t>70%</w:t>
            </w:r>
            <w:r>
              <w:rPr>
                <w:rFonts w:ascii="Times New Roman" w:hAnsi="Times New Roman" w:eastAsia="宋体" w:cs="Times New Roman"/>
                <w:color w:val="333333"/>
                <w:kern w:val="0"/>
                <w:sz w:val="24"/>
                <w:szCs w:val="24"/>
                <w:shd w:val="clear" w:color="auto" w:fill="FFFFFF"/>
              </w:rPr>
              <w:t>以上</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微软雅黑" w:cs="Times New Roman"/>
                <w:color w:val="333333"/>
                <w:kern w:val="0"/>
                <w:sz w:val="24"/>
                <w:szCs w:val="24"/>
              </w:rPr>
              <w:t>100</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hint="eastAsia" w:ascii="Times New Roman" w:hAnsi="Times New Roman" w:eastAsia="微软雅黑" w:cs="Times New Roman"/>
                <w:color w:val="333333"/>
                <w:kern w:val="0"/>
                <w:sz w:val="24"/>
                <w:szCs w:val="24"/>
              </w:rPr>
            </w:pPr>
          </w:p>
          <w:p>
            <w:pPr>
              <w:widowControl/>
              <w:spacing w:line="300" w:lineRule="atLeast"/>
              <w:jc w:val="center"/>
              <w:rPr>
                <w:rFonts w:ascii="Times New Roman" w:hAnsi="Times New Roman" w:eastAsia="微软雅黑" w:cs="Times New Roman"/>
                <w:color w:val="333333"/>
                <w:kern w:val="0"/>
                <w:sz w:val="24"/>
                <w:szCs w:val="24"/>
              </w:rPr>
            </w:pPr>
            <w:r>
              <w:rPr>
                <w:rFonts w:hint="eastAsia" w:ascii="Times New Roman" w:hAnsi="Times New Roman" w:eastAsia="微软雅黑" w:cs="Times New Roman"/>
                <w:color w:val="333333"/>
                <w:kern w:val="0"/>
                <w:sz w:val="24"/>
                <w:szCs w:val="24"/>
              </w:rPr>
              <w:t>91.79</w:t>
            </w:r>
            <w:r>
              <w:rPr>
                <w:rFonts w:ascii="Times New Roman" w:hAnsi="Times New Roman" w:eastAsia="微软雅黑" w:cs="Times New Roman"/>
                <w:color w:val="333333"/>
                <w:kern w:val="0"/>
                <w:sz w:val="24"/>
                <w:szCs w:val="24"/>
              </w:rPr>
              <w:t> </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是</w:t>
            </w:r>
            <w:r>
              <w:rPr>
                <w:rFonts w:ascii="Times New Roman" w:hAnsi="Times New Roman" w:eastAsia="宋体" w:cs="Times New Roman"/>
                <w:color w:val="333333"/>
                <w:kern w:val="0"/>
                <w:sz w:val="24"/>
                <w:szCs w:val="24"/>
                <w:shd w:val="clear" w:color="auto" w:fill="FFFFFF"/>
              </w:rPr>
              <w:sym w:font="Wingdings" w:char="00FE"/>
            </w:r>
          </w:p>
          <w:p>
            <w:pPr>
              <w:widowControl/>
              <w:spacing w:line="300" w:lineRule="atLeast"/>
              <w:jc w:val="center"/>
              <w:rPr>
                <w:rFonts w:ascii="Times New Roman" w:hAnsi="Times New Roman" w:eastAsia="微软雅黑" w:cs="Times New Roman"/>
                <w:color w:val="333333"/>
                <w:kern w:val="0"/>
                <w:sz w:val="24"/>
                <w:szCs w:val="24"/>
              </w:rPr>
            </w:pPr>
            <w:r>
              <w:rPr>
                <w:rFonts w:ascii="Times New Roman" w:hAnsi="Times New Roman" w:eastAsia="宋体" w:cs="Times New Roman"/>
                <w:color w:val="000000"/>
                <w:kern w:val="0"/>
                <w:sz w:val="22"/>
              </w:rPr>
              <w:t>否</w:t>
            </w:r>
            <w:r>
              <w:rPr>
                <w:rFonts w:ascii="Times New Roman" w:hAnsi="Times New Roman" w:eastAsia="宋体" w:cs="Times New Roman"/>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103" w:hRule="atLeast"/>
        </w:trPr>
        <w:tc>
          <w:tcPr>
            <w:tcW w:w="890"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w:t>
            </w:r>
          </w:p>
        </w:tc>
        <w:tc>
          <w:tcPr>
            <w:tcW w:w="1561" w:type="dxa"/>
            <w:vMerge w:val="restart"/>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w:t>
            </w: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地方党政领导干部食品安全责任落实情况</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5</w:t>
            </w:r>
            <w:r>
              <w:rPr>
                <w:rFonts w:ascii="Times New Roman" w:hAnsi="Times New Roman" w:eastAsia="微软雅黑" w:cs="Times New Roman"/>
                <w:color w:val="000000" w:themeColor="text1"/>
                <w:kern w:val="0"/>
                <w:sz w:val="24"/>
                <w:szCs w:val="24"/>
                <w14:textFill>
                  <w14:solidFill>
                    <w14:schemeClr w14:val="tx1"/>
                  </w14:solidFill>
                </w14:textFill>
              </w:rPr>
              <w:t>4</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对照《地方党政领导干部食品安全责任制规定》，创建县（市）党委政府落实</w:t>
            </w: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情况</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视情扣减1</w:t>
            </w:r>
            <w:r>
              <w:rPr>
                <w:rFonts w:ascii="Times New Roman" w:hAnsi="Times New Roman" w:cs="Times New Roman"/>
                <w:color w:val="000000" w:themeColor="text1"/>
                <w:kern w:val="0"/>
                <w:sz w:val="24"/>
                <w:szCs w:val="24"/>
                <w:shd w:val="clear" w:color="auto" w:fill="FFFFFF"/>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2分</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不扣分</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宋体" w:cs="Times New Roman"/>
                <w:color w:val="000000" w:themeColor="text1"/>
                <w:kern w:val="0"/>
                <w:sz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65" w:hRule="atLeast"/>
        </w:trPr>
        <w:tc>
          <w:tcPr>
            <w:tcW w:w="890" w:type="dxa"/>
            <w:vMerge w:val="continue"/>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p>
        </w:tc>
        <w:tc>
          <w:tcPr>
            <w:tcW w:w="1561" w:type="dxa"/>
            <w:vMerge w:val="continue"/>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承诺达标合格证制度推行情况</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5</w:t>
            </w:r>
            <w:r>
              <w:rPr>
                <w:rFonts w:ascii="Times New Roman" w:hAnsi="Times New Roman" w:eastAsia="微软雅黑" w:cs="Times New Roman"/>
                <w:color w:val="000000" w:themeColor="text1"/>
                <w:kern w:val="0"/>
                <w:sz w:val="24"/>
                <w:szCs w:val="24"/>
                <w14:textFill>
                  <w14:solidFill>
                    <w14:schemeClr w14:val="tx1"/>
                  </w14:solidFill>
                </w14:textFill>
              </w:rPr>
              <w:t>5</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对照《中华人民共和国农产品质量安全法》和《农业</w:t>
            </w:r>
            <w:r>
              <w:rPr>
                <w:rFonts w:hint="eastAsia" w:ascii="Times New Roman" w:hAnsi="Times New Roman" w:eastAsia="宋体" w:cs="Times New Roman"/>
                <w:color w:val="000000" w:themeColor="text1"/>
                <w:kern w:val="0"/>
                <w:sz w:val="24"/>
                <w:szCs w:val="24"/>
                <w:shd w:val="clear" w:color="auto" w:fill="FFFFFF"/>
                <w:lang w:val="en-US" w:eastAsia="zh-CN"/>
                <w14:textFill>
                  <w14:solidFill>
                    <w14:schemeClr w14:val="tx1"/>
                  </w14:solidFill>
                </w14:textFill>
              </w:rPr>
              <w:t>农村</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部办公厅、国家市场监督管理总局办公厅关于加强新修订〈中华人民共和国农产品质量安全法〉有关规定衔接工作的通知》（农办质〔2023〕9号），农业农村和市场监管两部门建立衔接机制，相关生产经营主体应开尽开承诺达标合格证，农产品批发市场建立收取承诺达标合格证制度</w:t>
            </w: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等</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视情扣减1—2分</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不扣分</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宋体" w:cs="Times New Roman"/>
                <w:color w:val="000000" w:themeColor="text1"/>
                <w:kern w:val="0"/>
                <w:sz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4" w:hRule="atLeast"/>
        </w:trPr>
        <w:tc>
          <w:tcPr>
            <w:tcW w:w="890" w:type="dxa"/>
            <w:vMerge w:val="continue"/>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p>
        </w:tc>
        <w:tc>
          <w:tcPr>
            <w:tcW w:w="1561" w:type="dxa"/>
            <w:vMerge w:val="continue"/>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乡镇农产品质量安全网格化管理实施情况</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5</w:t>
            </w:r>
            <w:r>
              <w:rPr>
                <w:rFonts w:ascii="Times New Roman" w:hAnsi="Times New Roman" w:eastAsia="微软雅黑" w:cs="Times New Roman"/>
                <w:color w:val="000000" w:themeColor="text1"/>
                <w:kern w:val="0"/>
                <w:sz w:val="24"/>
                <w:szCs w:val="24"/>
                <w14:textFill>
                  <w14:solidFill>
                    <w14:schemeClr w14:val="tx1"/>
                  </w14:solidFill>
                </w14:textFill>
              </w:rPr>
              <w:t>6</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对照《农业农村部关于加强乡镇农产品质量安全网格化管理的意见》（农质发〔2021〕7号），所有涉农乡镇全部划分监管网格、明确监管员和协管员、定期规范开展巡查检查和快速检测（以下简称</w:t>
            </w: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“速测”</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）、实施风险分级动态管理、监管信息公开公示</w:t>
            </w: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等</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视情扣减1—2分</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不扣分</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宋体" w:cs="Times New Roman"/>
                <w:color w:val="000000" w:themeColor="text1"/>
                <w:kern w:val="0"/>
                <w:sz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401" w:hRule="atLeast"/>
        </w:trPr>
        <w:tc>
          <w:tcPr>
            <w:tcW w:w="890" w:type="dxa"/>
            <w:vMerge w:val="continue"/>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p>
        </w:tc>
        <w:tc>
          <w:tcPr>
            <w:tcW w:w="1561" w:type="dxa"/>
            <w:vMerge w:val="continue"/>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稳定和加强农产品质量安全检验检测体系情况</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5</w:t>
            </w:r>
            <w:r>
              <w:rPr>
                <w:rFonts w:ascii="Times New Roman" w:hAnsi="Times New Roman" w:eastAsia="微软雅黑" w:cs="Times New Roman"/>
                <w:color w:val="000000" w:themeColor="text1"/>
                <w:kern w:val="0"/>
                <w:sz w:val="24"/>
                <w:szCs w:val="24"/>
                <w14:textFill>
                  <w14:solidFill>
                    <w14:schemeClr w14:val="tx1"/>
                  </w14:solidFill>
                </w14:textFill>
              </w:rPr>
              <w:t>7</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对照《农业农村部办公厅关于稳定和加强基层农产品质量安全检验检测体系的通知》（农办质〔2019〕32号），</w:t>
            </w: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基层</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农产品质量安全检验检测体系健全完善、运行良好、能有效支撑当地农产品质量安全监管</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视情扣减1—2分</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不扣分</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宋体" w:cs="Times New Roman"/>
                <w:color w:val="000000" w:themeColor="text1"/>
                <w:kern w:val="0"/>
                <w:sz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394" w:hRule="atLeast"/>
        </w:trPr>
        <w:tc>
          <w:tcPr>
            <w:tcW w:w="890" w:type="dxa"/>
            <w:vMerge w:val="continue"/>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p>
        </w:tc>
        <w:tc>
          <w:tcPr>
            <w:tcW w:w="1561" w:type="dxa"/>
            <w:vMerge w:val="continue"/>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乡镇开展</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农产品</w:t>
            </w: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上市前速测把关情况</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5</w:t>
            </w:r>
            <w:r>
              <w:rPr>
                <w:rFonts w:ascii="Times New Roman" w:hAnsi="Times New Roman" w:eastAsia="微软雅黑" w:cs="Times New Roman"/>
                <w:color w:val="000000" w:themeColor="text1"/>
                <w:kern w:val="0"/>
                <w:sz w:val="24"/>
                <w:szCs w:val="24"/>
                <w14:textFill>
                  <w14:solidFill>
                    <w14:schemeClr w14:val="tx1"/>
                  </w14:solidFill>
                </w14:textFill>
              </w:rPr>
              <w:t>8</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涉农乡镇全部配备酶抑制和胶体金速测设备、试纸卡（条），同步开展禁用农药和常规农药速测，落实</w:t>
            </w: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“用什么检什么”要</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求，规范出具速测结果，做到100%</w:t>
            </w: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“检什么标什么”</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，2023年以来对豇豆种植户在生产期内至少速测1次</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视情扣减1—2分</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不扣分</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宋体" w:cs="Times New Roman"/>
                <w:color w:val="000000" w:themeColor="text1"/>
                <w:kern w:val="0"/>
                <w:sz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115" w:hRule="atLeast"/>
        </w:trPr>
        <w:tc>
          <w:tcPr>
            <w:tcW w:w="890" w:type="dxa"/>
            <w:vMerge w:val="continue"/>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p>
        </w:tc>
        <w:tc>
          <w:tcPr>
            <w:tcW w:w="1561" w:type="dxa"/>
            <w:vMerge w:val="continue"/>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p>
        </w:tc>
        <w:tc>
          <w:tcPr>
            <w:tcW w:w="1633"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创建宣传引导情况</w:t>
            </w:r>
          </w:p>
        </w:tc>
        <w:tc>
          <w:tcPr>
            <w:tcW w:w="48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5</w:t>
            </w:r>
            <w:r>
              <w:rPr>
                <w:rFonts w:ascii="Times New Roman" w:hAnsi="Times New Roman" w:eastAsia="微软雅黑" w:cs="Times New Roman"/>
                <w:color w:val="000000" w:themeColor="text1"/>
                <w:kern w:val="0"/>
                <w:sz w:val="24"/>
                <w:szCs w:val="24"/>
                <w14:textFill>
                  <w14:solidFill>
                    <w14:schemeClr w14:val="tx1"/>
                  </w14:solidFill>
                </w14:textFill>
              </w:rPr>
              <w:t>9</w:t>
            </w:r>
          </w:p>
        </w:tc>
        <w:tc>
          <w:tcPr>
            <w:tcW w:w="6807" w:type="dxa"/>
            <w:shd w:val="clear" w:color="auto" w:fill="FFFFFF"/>
            <w:tcMar>
              <w:top w:w="0" w:type="dxa"/>
              <w:left w:w="108" w:type="dxa"/>
              <w:bottom w:w="0" w:type="dxa"/>
              <w:right w:w="108" w:type="dxa"/>
            </w:tcMar>
            <w:vAlign w:val="center"/>
          </w:tcPr>
          <w:p>
            <w:pPr>
              <w:widowControl/>
              <w:spacing w:line="300" w:lineRule="atLeast"/>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创建县（市）在本县（市）现代农业产业园区、标准化生产基地、农产品生产企业、农民专业合作社、家庭农场等宣传创建和引导农业生产经营主体参与创建情况</w:t>
            </w:r>
          </w:p>
        </w:tc>
        <w:tc>
          <w:tcPr>
            <w:tcW w:w="1038"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视情扣减1—2分</w:t>
            </w:r>
          </w:p>
        </w:tc>
        <w:tc>
          <w:tcPr>
            <w:tcW w:w="781" w:type="dxa"/>
            <w:shd w:val="clear" w:color="auto" w:fill="FFFFFF"/>
            <w:tcMar>
              <w:top w:w="0" w:type="dxa"/>
              <w:left w:w="108" w:type="dxa"/>
              <w:bottom w:w="0" w:type="dxa"/>
              <w:right w:w="108" w:type="dxa"/>
            </w:tcMar>
            <w:vAlign w:val="center"/>
          </w:tcPr>
          <w:p>
            <w:pPr>
              <w:widowControl/>
              <w:spacing w:line="300" w:lineRule="atLeast"/>
              <w:jc w:val="center"/>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不扣分</w:t>
            </w:r>
          </w:p>
        </w:tc>
        <w:tc>
          <w:tcPr>
            <w:tcW w:w="647" w:type="dxa"/>
            <w:shd w:val="clear" w:color="auto" w:fill="FFFFFF"/>
            <w:tcMar>
              <w:top w:w="0" w:type="dxa"/>
              <w:left w:w="108" w:type="dxa"/>
              <w:bottom w:w="0" w:type="dxa"/>
              <w:right w:w="108" w:type="dxa"/>
            </w:tcMar>
            <w:vAlign w:val="center"/>
          </w:tcPr>
          <w:p>
            <w:pPr>
              <w:widowControl/>
              <w:spacing w:line="300" w:lineRule="atLeast"/>
              <w:jc w:val="center"/>
              <w:rPr>
                <w:rFonts w:ascii="Times New Roman" w:hAnsi="Times New Roman" w:eastAsia="宋体" w:cs="Times New Roman"/>
                <w:color w:val="000000" w:themeColor="text1"/>
                <w:kern w:val="0"/>
                <w:sz w:val="22"/>
                <w14:textFill>
                  <w14:solidFill>
                    <w14:schemeClr w14:val="tx1"/>
                  </w14:solidFill>
                </w14:textFill>
              </w:rPr>
            </w:pPr>
          </w:p>
        </w:tc>
      </w:tr>
    </w:tbl>
    <w:p>
      <w:pPr>
        <w:widowControl/>
        <w:shd w:val="clear" w:color="auto" w:fill="FFFFFF"/>
        <w:jc w:val="left"/>
        <w:rPr>
          <w:rFonts w:ascii="Times New Roman" w:hAnsi="Times New Roman" w:eastAsia="微软雅黑" w:cs="Times New Roman"/>
          <w:color w:val="333333"/>
          <w:kern w:val="0"/>
          <w:sz w:val="24"/>
          <w:szCs w:val="24"/>
        </w:rPr>
      </w:pPr>
      <w:r>
        <w:rPr>
          <w:rFonts w:ascii="Times New Roman" w:hAnsi="Times New Roman" w:eastAsia="宋体" w:cs="Times New Roman"/>
          <w:color w:val="000000" w:themeColor="text1"/>
          <w:kern w:val="0"/>
          <w:sz w:val="20"/>
          <w:szCs w:val="20"/>
          <w14:textFill>
            <w14:solidFill>
              <w14:schemeClr w14:val="tx1"/>
            </w14:solidFill>
          </w14:textFill>
        </w:rPr>
        <w:t>注：</w:t>
      </w:r>
      <w:r>
        <w:rPr>
          <w:rFonts w:ascii="Times New Roman" w:hAnsi="Times New Roman" w:eastAsia="微软雅黑" w:cs="Times New Roman"/>
          <w:color w:val="000000" w:themeColor="text1"/>
          <w:kern w:val="0"/>
          <w:sz w:val="20"/>
          <w:szCs w:val="20"/>
          <w14:textFill>
            <w14:solidFill>
              <w14:schemeClr w14:val="tx1"/>
            </w14:solidFill>
          </w14:textFill>
        </w:rPr>
        <w:t>1.</w:t>
      </w:r>
      <w:r>
        <w:rPr>
          <w:rFonts w:ascii="Times New Roman" w:hAnsi="Times New Roman" w:eastAsia="宋体" w:cs="Times New Roman"/>
          <w:color w:val="000000" w:themeColor="text1"/>
          <w:kern w:val="0"/>
          <w:sz w:val="20"/>
          <w:szCs w:val="20"/>
          <w14:textFill>
            <w14:solidFill>
              <w14:schemeClr w14:val="tx1"/>
            </w14:solidFill>
          </w14:textFill>
        </w:rPr>
        <w:t>考核内容前带</w:t>
      </w:r>
      <w:r>
        <w:rPr>
          <w:rFonts w:ascii="Times New Roman" w:hAnsi="Times New Roman" w:eastAsia="微软雅黑" w:cs="Times New Roman"/>
          <w:color w:val="000000" w:themeColor="text1"/>
          <w:kern w:val="0"/>
          <w:sz w:val="20"/>
          <w:szCs w:val="20"/>
          <w14:textFill>
            <w14:solidFill>
              <w14:schemeClr w14:val="tx1"/>
            </w14:solidFill>
          </w14:textFill>
        </w:rPr>
        <w:t>“*”</w:t>
      </w:r>
      <w:r>
        <w:rPr>
          <w:rFonts w:ascii="Times New Roman" w:hAnsi="Times New Roman" w:eastAsia="宋体" w:cs="Times New Roman"/>
          <w:color w:val="000000" w:themeColor="text1"/>
          <w:kern w:val="0"/>
          <w:sz w:val="20"/>
          <w:szCs w:val="20"/>
          <w14:textFill>
            <w14:solidFill>
              <w14:schemeClr w14:val="tx1"/>
            </w14:solidFill>
          </w14:textFill>
        </w:rPr>
        <w:t>的为关键项。</w:t>
      </w:r>
    </w:p>
    <w:p>
      <w:pPr>
        <w:widowControl/>
        <w:shd w:val="clear" w:color="auto" w:fill="FFFFFF"/>
        <w:ind w:firstLine="400"/>
        <w:jc w:val="left"/>
      </w:pPr>
      <w:r>
        <w:rPr>
          <w:rFonts w:ascii="Times New Roman" w:hAnsi="Times New Roman" w:eastAsia="微软雅黑" w:cs="Times New Roman"/>
          <w:color w:val="333333"/>
          <w:kern w:val="0"/>
          <w:sz w:val="20"/>
          <w:szCs w:val="20"/>
        </w:rPr>
        <w:t>2.</w:t>
      </w:r>
      <w:r>
        <w:rPr>
          <w:rFonts w:ascii="Times New Roman" w:hAnsi="Times New Roman" w:eastAsia="宋体" w:cs="Times New Roman"/>
          <w:color w:val="000000"/>
          <w:kern w:val="0"/>
          <w:sz w:val="20"/>
          <w:szCs w:val="20"/>
        </w:rPr>
        <w:t>工作考核部分各考核项目分值累加为该部分得分，质量安全水平部分监测合格率分子数值为该部分得分，群众满意度部分群众满意度分子数值为该部分得分；考评总得分按照如下公式计算：考评总得分</w:t>
      </w:r>
      <w:r>
        <w:rPr>
          <w:rFonts w:ascii="Times New Roman" w:hAnsi="Times New Roman" w:eastAsia="微软雅黑" w:cs="Times New Roman"/>
          <w:color w:val="333333"/>
          <w:kern w:val="0"/>
          <w:sz w:val="20"/>
          <w:szCs w:val="20"/>
        </w:rPr>
        <w:t>=</w:t>
      </w:r>
      <w:r>
        <w:rPr>
          <w:rFonts w:ascii="Times New Roman" w:hAnsi="Times New Roman" w:eastAsia="宋体" w:cs="Times New Roman"/>
          <w:color w:val="000000"/>
          <w:kern w:val="0"/>
          <w:sz w:val="20"/>
          <w:szCs w:val="20"/>
        </w:rPr>
        <w:t>工作考核得分</w:t>
      </w:r>
      <w:r>
        <w:rPr>
          <w:rFonts w:ascii="Times New Roman" w:hAnsi="Times New Roman" w:eastAsia="微软雅黑" w:cs="Times New Roman"/>
          <w:color w:val="333333"/>
          <w:kern w:val="0"/>
          <w:sz w:val="20"/>
          <w:szCs w:val="20"/>
        </w:rPr>
        <w:t>×60%+</w:t>
      </w:r>
      <w:r>
        <w:rPr>
          <w:rFonts w:ascii="Times New Roman" w:hAnsi="Times New Roman" w:eastAsia="宋体" w:cs="Times New Roman"/>
          <w:color w:val="000000"/>
          <w:kern w:val="0"/>
          <w:sz w:val="20"/>
          <w:szCs w:val="20"/>
        </w:rPr>
        <w:t>质量安全水平得分</w:t>
      </w:r>
      <w:r>
        <w:rPr>
          <w:rFonts w:ascii="Times New Roman" w:hAnsi="Times New Roman" w:eastAsia="微软雅黑" w:cs="Times New Roman"/>
          <w:color w:val="333333"/>
          <w:kern w:val="0"/>
          <w:sz w:val="20"/>
          <w:szCs w:val="20"/>
        </w:rPr>
        <w:t>×20%+</w:t>
      </w:r>
      <w:r>
        <w:rPr>
          <w:rFonts w:ascii="Times New Roman" w:hAnsi="Times New Roman" w:eastAsia="宋体" w:cs="Times New Roman"/>
          <w:color w:val="000000"/>
          <w:kern w:val="0"/>
          <w:sz w:val="20"/>
          <w:szCs w:val="20"/>
        </w:rPr>
        <w:t>群众满意度得分</w:t>
      </w:r>
      <w:r>
        <w:rPr>
          <w:rFonts w:ascii="Times New Roman" w:hAnsi="Times New Roman" w:eastAsia="微软雅黑" w:cs="Times New Roman"/>
          <w:color w:val="333333"/>
          <w:kern w:val="0"/>
          <w:sz w:val="20"/>
          <w:szCs w:val="20"/>
        </w:rPr>
        <w:t>×20%</w:t>
      </w:r>
      <w:r>
        <w:rPr>
          <w:rFonts w:hint="eastAsia" w:ascii="宋体" w:hAnsi="宋体" w:eastAsia="宋体" w:cs="Times New Roman"/>
          <w:color w:val="000000"/>
          <w:kern w:val="0"/>
          <w:sz w:val="20"/>
          <w:szCs w:val="20"/>
        </w:rPr>
        <w:t>-</w:t>
      </w:r>
      <w:r>
        <w:rPr>
          <w:rFonts w:hint="eastAsia" w:ascii="Times New Roman" w:hAnsi="Times New Roman" w:eastAsia="宋体" w:cs="Times New Roman"/>
          <w:color w:val="000000"/>
          <w:kern w:val="0"/>
          <w:sz w:val="20"/>
          <w:szCs w:val="20"/>
        </w:rPr>
        <w:t>扣减分</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OTQ4OThmOGQ1OWIxZjkxMTc5MGRhZWUyNDg5ZDUifQ=="/>
  </w:docVars>
  <w:rsids>
    <w:rsidRoot w:val="23542C80"/>
    <w:rsid w:val="0004433C"/>
    <w:rsid w:val="001D3882"/>
    <w:rsid w:val="00654A5E"/>
    <w:rsid w:val="00BE10B6"/>
    <w:rsid w:val="00C320B5"/>
    <w:rsid w:val="00C85375"/>
    <w:rsid w:val="00ED4A09"/>
    <w:rsid w:val="0B27528A"/>
    <w:rsid w:val="10BA73FD"/>
    <w:rsid w:val="1C0B32E2"/>
    <w:rsid w:val="220F45B2"/>
    <w:rsid w:val="23542C80"/>
    <w:rsid w:val="2BA74984"/>
    <w:rsid w:val="44C973F7"/>
    <w:rsid w:val="467303E2"/>
    <w:rsid w:val="52E33AC0"/>
    <w:rsid w:val="58914404"/>
    <w:rsid w:val="73073007"/>
    <w:rsid w:val="7CE5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color w:val="000000"/>
    </w:rPr>
  </w:style>
  <w:style w:type="paragraph" w:customStyle="1" w:styleId="3">
    <w:name w:val="正文1"/>
    <w:next w:val="2"/>
    <w:qFormat/>
    <w:uiPriority w:val="0"/>
    <w:pPr>
      <w:jc w:val="both"/>
    </w:pPr>
    <w:rPr>
      <w:rFonts w:ascii="Calibri" w:hAnsi="Calibri" w:cs="黑体"/>
      <w:sz w:val="21"/>
      <w:szCs w:val="22"/>
      <w:lang w:val="en-US" w:eastAsia="zh-CN" w:bidi="ar-SA"/>
    </w:rPr>
  </w:style>
  <w:style w:type="paragraph" w:styleId="4">
    <w:name w:val="Normal (Web)"/>
    <w:basedOn w:val="1"/>
    <w:next w:val="5"/>
    <w:uiPriority w:val="0"/>
    <w:pPr>
      <w:widowControl/>
      <w:spacing w:before="100" w:beforeAutospacing="1" w:after="100" w:afterAutospacing="1"/>
      <w:jc w:val="left"/>
    </w:pPr>
    <w:rPr>
      <w:rFonts w:ascii="宋体" w:cs="宋体"/>
      <w:kern w:val="0"/>
      <w:sz w:val="24"/>
      <w:szCs w:val="24"/>
      <w:lang w:bidi="ar-SA"/>
    </w:rPr>
  </w:style>
  <w:style w:type="paragraph" w:styleId="5">
    <w:name w:val="index 9"/>
    <w:basedOn w:val="1"/>
    <w:next w:val="1"/>
    <w:semiHidden/>
    <w:qFormat/>
    <w:uiPriority w:val="99"/>
    <w:pPr>
      <w:ind w:left="33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4177</Words>
  <Characters>4402</Characters>
  <Lines>38</Lines>
  <Paragraphs>10</Paragraphs>
  <TotalTime>50</TotalTime>
  <ScaleCrop>false</ScaleCrop>
  <LinksUpToDate>false</LinksUpToDate>
  <CharactersWithSpaces>4561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2023-07-14T07:11:00Z</dcterms:created>
  <dc:creator>猴哥猴哥</dc:creator>
  <cp:lastModifiedBy>Lenovo</cp:lastModifiedBy>
  <cp:lastPrinted>2023-07-26T12:23:00Z</cp:lastPrinted>
  <dcterms:modified xsi:type="dcterms:W3CDTF">2023-08-03T02:56:50Z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8D0CB37F6E89463BB534C5B8DAC4D334_13</vt:lpwstr>
  </property>
</Properties>
</file>